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eastAsia="方正小标宋简体"/>
          <w:sz w:val="44"/>
          <w:szCs w:val="44"/>
        </w:rPr>
      </w:pPr>
      <w:r>
        <w:rPr>
          <w:rFonts w:hint="eastAsia" w:ascii="方正小标宋简体" w:eastAsia="方正小标宋简体"/>
          <w:sz w:val="44"/>
          <w:szCs w:val="44"/>
        </w:rPr>
        <w:t>北京政法职业学院2021年度部门整体绩效评价报告</w:t>
      </w:r>
    </w:p>
    <w:p>
      <w:pPr>
        <w:spacing w:line="580" w:lineRule="exact"/>
        <w:ind w:firstLine="560" w:firstLineChars="200"/>
        <w:rPr>
          <w:rFonts w:ascii="黑体" w:hAnsi="黑体" w:eastAsia="黑体" w:cs="宋体"/>
          <w:color w:val="000000"/>
          <w:kern w:val="0"/>
          <w:sz w:val="28"/>
          <w:szCs w:val="28"/>
        </w:rPr>
      </w:pPr>
    </w:p>
    <w:p>
      <w:pPr>
        <w:ind w:firstLine="560" w:firstLineChars="200"/>
        <w:rPr>
          <w:rFonts w:ascii="黑体" w:hAnsi="黑体" w:eastAsia="黑体" w:cs="仿宋_GB2312"/>
          <w:sz w:val="28"/>
          <w:szCs w:val="28"/>
        </w:rPr>
      </w:pPr>
      <w:r>
        <w:rPr>
          <w:rFonts w:hint="eastAsia" w:ascii="黑体" w:hAnsi="黑体" w:eastAsia="黑体" w:cs="仿宋_GB2312"/>
          <w:sz w:val="28"/>
          <w:szCs w:val="28"/>
        </w:rPr>
        <w:t>一、部门概况</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（一）机构设置及职责工作任务情况</w:t>
      </w:r>
    </w:p>
    <w:p>
      <w:pPr>
        <w:pStyle w:val="2"/>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主要职责</w:t>
      </w:r>
    </w:p>
    <w:p>
      <w:pPr>
        <w:pStyle w:val="2"/>
        <w:ind w:firstLine="560"/>
        <w:rPr>
          <w:rFonts w:ascii="仿宋_GB2312" w:eastAsia="仿宋_GB2312"/>
          <w:sz w:val="28"/>
          <w:szCs w:val="28"/>
        </w:rPr>
      </w:pPr>
      <w:r>
        <w:rPr>
          <w:rFonts w:hint="eastAsia" w:ascii="仿宋_GB2312" w:hAnsi="仿宋_GB2312" w:eastAsia="仿宋_GB2312" w:cs="仿宋_GB2312"/>
          <w:sz w:val="28"/>
          <w:szCs w:val="28"/>
        </w:rPr>
        <w:t>学院是经北京市人民政府批准、教育部备案的公办全日制普通高等职业学院，隶属于中共北京市委政法委员会，同时接受北京市教委的业务领导。</w:t>
      </w:r>
      <w:r>
        <w:rPr>
          <w:rFonts w:hint="eastAsia" w:ascii="仿宋_GB2312" w:eastAsia="仿宋_GB2312"/>
          <w:sz w:val="28"/>
          <w:szCs w:val="28"/>
        </w:rPr>
        <w:t>学院主要开展高等职业教育，同时举办成人高等学历教育、中等职业教育及职业培训，其主要职责是：</w:t>
      </w:r>
    </w:p>
    <w:p>
      <w:pPr>
        <w:pStyle w:val="2"/>
        <w:ind w:firstLine="560"/>
        <w:rPr>
          <w:rFonts w:ascii="仿宋_GB2312" w:hAnsi="仿宋_GB2312" w:eastAsia="仿宋_GB2312" w:cs="仿宋_GB2312"/>
          <w:sz w:val="28"/>
          <w:szCs w:val="28"/>
        </w:rPr>
      </w:pPr>
      <w:r>
        <w:rPr>
          <w:rFonts w:hint="eastAsia" w:ascii="仿宋_GB2312" w:eastAsia="仿宋_GB2312"/>
          <w:sz w:val="28"/>
          <w:szCs w:val="28"/>
        </w:rPr>
        <w:t>贯彻执行党和国家的高等教育方针、政策、法规，研究拟定学院发展战略及工作思路；按照党要管党、从严治党的方针，加强学院党组织的思想建设、组织建设、作风建设、制度建设和反腐倡廉建设，加强学生的思想政治教育、法纪教育；紧紧围绕学院发展目标推进各项工作，切实抓好师资队伍建设、制度体系建设、基础设施建设，不断改善办学条件，创造良好的学习、工作生活文化环境；坚持以服务发展为宗旨，以就业为导向的办学方针，以人才培养为中心，大力推进产教融合、校企合作，加强专业与课程建设，提高教学质量，精心培养高素质技术技能型人才；充分发挥人才集聚优势，提升科研水平，不断提升服务政法、服务社会的能力与水平，加强产学研结合，推进学院科学发展；承办市委市政府、市委政法委交办的其他事项。</w:t>
      </w:r>
    </w:p>
    <w:p>
      <w:pPr>
        <w:pStyle w:val="2"/>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机构情况</w:t>
      </w:r>
    </w:p>
    <w:p>
      <w:pPr>
        <w:pStyle w:val="2"/>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学院设置24个部门，分别是：党政办公室；组织部、统战部、党校、巡察办公室合署；宣传部；学生工作部（学生处）、武装部合署；保卫部（保卫处）；人事处（党委教师工作部）；教务处；财务处；审计处；资产管理处（加挂基建办公室牌子）；工会、机关党总支合署；团委；党校工作部；应用法律学院；现代管理学院；安防科技学院；信息媒体学院；基础学院；思想政治理论课教研部；科研发展中心；图书馆；综合服务中心；继续教育中心；北京政法网运管中心。</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（二）部门整体绩效目标设立情况</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学院按照要求设定部门整体绩效目标，设立依据充分、总体产出和效果明确、目标合理可行、指标细化量化，对提高资金使用效率和效益具有很强的指导性。</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绩效目标设定的充分性</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根据中共中央、国务院、市委市政府、市委政法委和市教委的相关文件及《学院“十四五”时期发展规划（2021—2025年）》，根据学院2021年发展思路、工作目标和工作任务，确定了“适应首都政法事业和经济社会发展需要，培养具有良好职业道德、实践能力强的高素质技能型专门人才。坚持以全日制高等职业教育为主，兼办成人高等学历教育、中等职业教育；积极开展面向首都政法行业的职业与人才教育培训。坚持科学研究与人才培养相结合，依托专业和人才优势，大力开展应用性与学术性研究，提高基础研究的水平，发挥科学研究对专业建设和师资队伍建设的支撑与促进作用”的总体绩效目标。绩效目标符合国民经济和社会发展规划、部门职能、事业发展规划等要求，并与相应的财政支出范围、方向、效果等紧密相关，设立的依据充分。</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绩效目标设定的合理性</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绩效目标从部门实际出发。依托2021年工作计划要点，从加强政治建设、职业教育研究、培育“三全育人”等14个方面设定了绩效指标。指标设定与预算批复资金量匹配，指标设定科学、合理、可衡量，从总体上规范和引导了学院所有项目绩效目标的设定。</w:t>
      </w:r>
    </w:p>
    <w:p>
      <w:pPr>
        <w:ind w:firstLine="560" w:firstLineChars="200"/>
        <w:rPr>
          <w:rFonts w:ascii="黑体" w:hAnsi="黑体" w:eastAsia="黑体" w:cs="仿宋_GB2312"/>
          <w:sz w:val="28"/>
          <w:szCs w:val="28"/>
        </w:rPr>
      </w:pPr>
      <w:r>
        <w:rPr>
          <w:rFonts w:hint="eastAsia" w:ascii="黑体" w:hAnsi="黑体" w:eastAsia="黑体" w:cs="仿宋_GB2312"/>
          <w:sz w:val="28"/>
          <w:szCs w:val="28"/>
        </w:rPr>
        <w:t>二、当年预算执行情况</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2021年全年预算数</w:t>
      </w:r>
      <w:r>
        <w:rPr>
          <w:rFonts w:ascii="仿宋_GB2312" w:hAnsi="仿宋_GB2312" w:eastAsia="仿宋_GB2312" w:cs="仿宋_GB2312"/>
          <w:color w:val="000000"/>
          <w:kern w:val="0"/>
          <w:sz w:val="28"/>
          <w:szCs w:val="28"/>
        </w:rPr>
        <w:t>23,401.29</w:t>
      </w:r>
      <w:r>
        <w:rPr>
          <w:rFonts w:hint="eastAsia" w:ascii="仿宋_GB2312" w:hAnsi="仿宋_GB2312" w:eastAsia="仿宋_GB2312" w:cs="仿宋_GB2312"/>
          <w:color w:val="000000"/>
          <w:kern w:val="0"/>
          <w:sz w:val="28"/>
          <w:szCs w:val="28"/>
        </w:rPr>
        <w:t>万元，其中，基本支出预算数</w:t>
      </w:r>
      <w:r>
        <w:rPr>
          <w:rFonts w:ascii="仿宋_GB2312" w:hAnsi="仿宋_GB2312" w:eastAsia="仿宋_GB2312" w:cs="仿宋_GB2312"/>
          <w:color w:val="000000"/>
          <w:kern w:val="0"/>
          <w:sz w:val="28"/>
          <w:szCs w:val="28"/>
        </w:rPr>
        <w:t>19,842.2</w:t>
      </w:r>
      <w:r>
        <w:rPr>
          <w:rFonts w:hint="eastAsia" w:ascii="仿宋_GB2312" w:hAnsi="仿宋_GB2312" w:eastAsia="仿宋_GB2312" w:cs="仿宋_GB2312"/>
          <w:color w:val="000000"/>
          <w:kern w:val="0"/>
          <w:sz w:val="28"/>
          <w:szCs w:val="28"/>
        </w:rPr>
        <w:t>6万元，项目支出预算数</w:t>
      </w:r>
      <w:r>
        <w:rPr>
          <w:rFonts w:ascii="仿宋_GB2312" w:hAnsi="仿宋_GB2312" w:eastAsia="仿宋_GB2312" w:cs="仿宋_GB2312"/>
          <w:color w:val="000000"/>
          <w:kern w:val="0"/>
          <w:sz w:val="28"/>
          <w:szCs w:val="28"/>
        </w:rPr>
        <w:t>3,559.03</w:t>
      </w:r>
      <w:r>
        <w:rPr>
          <w:rFonts w:hint="eastAsia" w:ascii="仿宋_GB2312" w:hAnsi="仿宋_GB2312" w:eastAsia="仿宋_GB2312" w:cs="仿宋_GB2312"/>
          <w:color w:val="000000"/>
          <w:kern w:val="0"/>
          <w:sz w:val="28"/>
          <w:szCs w:val="28"/>
        </w:rPr>
        <w:t>万元，其他支出预算数</w:t>
      </w:r>
      <w:r>
        <w:rPr>
          <w:rFonts w:ascii="仿宋_GB2312" w:hAnsi="仿宋_GB2312" w:eastAsia="仿宋_GB2312" w:cs="仿宋_GB2312"/>
          <w:kern w:val="0"/>
          <w:sz w:val="28"/>
          <w:szCs w:val="28"/>
        </w:rPr>
        <w:t>0.00</w:t>
      </w:r>
      <w:r>
        <w:rPr>
          <w:rFonts w:hint="eastAsia" w:ascii="仿宋_GB2312" w:hAnsi="仿宋_GB2312" w:eastAsia="仿宋_GB2312" w:cs="仿宋_GB2312"/>
          <w:color w:val="000000"/>
          <w:kern w:val="0"/>
          <w:sz w:val="28"/>
          <w:szCs w:val="28"/>
        </w:rPr>
        <w:t>万元。资金总体支出</w:t>
      </w:r>
      <w:r>
        <w:rPr>
          <w:rFonts w:ascii="仿宋_GB2312" w:hAnsi="仿宋_GB2312" w:eastAsia="仿宋_GB2312" w:cs="仿宋_GB2312"/>
          <w:kern w:val="0"/>
          <w:sz w:val="28"/>
          <w:szCs w:val="28"/>
        </w:rPr>
        <w:t>21,594.82</w:t>
      </w:r>
      <w:r>
        <w:rPr>
          <w:rFonts w:hint="eastAsia" w:ascii="仿宋_GB2312" w:hAnsi="仿宋_GB2312" w:eastAsia="仿宋_GB2312" w:cs="仿宋_GB2312"/>
          <w:color w:val="000000"/>
          <w:kern w:val="0"/>
          <w:sz w:val="28"/>
          <w:szCs w:val="28"/>
        </w:rPr>
        <w:t>万元，其中，基本支出</w:t>
      </w:r>
      <w:r>
        <w:rPr>
          <w:rFonts w:ascii="仿宋_GB2312" w:hAnsi="仿宋_GB2312" w:eastAsia="仿宋_GB2312" w:cs="仿宋_GB2312"/>
          <w:kern w:val="0"/>
          <w:sz w:val="28"/>
          <w:szCs w:val="28"/>
        </w:rPr>
        <w:t>19,79</w:t>
      </w:r>
      <w:r>
        <w:rPr>
          <w:rFonts w:hint="eastAsia" w:ascii="仿宋_GB2312" w:hAnsi="仿宋_GB2312" w:eastAsia="仿宋_GB2312" w:cs="仿宋_GB2312"/>
          <w:kern w:val="0"/>
          <w:sz w:val="28"/>
          <w:szCs w:val="28"/>
        </w:rPr>
        <w:t>5</w:t>
      </w:r>
      <w:r>
        <w:rPr>
          <w:rFonts w:ascii="仿宋_GB2312" w:hAnsi="仿宋_GB2312" w:eastAsia="仿宋_GB2312" w:cs="仿宋_GB2312"/>
          <w:kern w:val="0"/>
          <w:sz w:val="28"/>
          <w:szCs w:val="28"/>
        </w:rPr>
        <w:t>.79</w:t>
      </w:r>
      <w:r>
        <w:rPr>
          <w:rFonts w:hint="eastAsia" w:ascii="仿宋_GB2312" w:hAnsi="仿宋_GB2312" w:eastAsia="仿宋_GB2312" w:cs="仿宋_GB2312"/>
          <w:color w:val="000000"/>
          <w:kern w:val="0"/>
          <w:sz w:val="28"/>
          <w:szCs w:val="28"/>
        </w:rPr>
        <w:t>万元，项目支出</w:t>
      </w:r>
      <w:r>
        <w:rPr>
          <w:rFonts w:ascii="仿宋_GB2312" w:hAnsi="仿宋_GB2312" w:eastAsia="仿宋_GB2312" w:cs="仿宋_GB2312"/>
          <w:kern w:val="0"/>
          <w:sz w:val="28"/>
          <w:szCs w:val="28"/>
        </w:rPr>
        <w:t>1,799.03</w:t>
      </w:r>
      <w:r>
        <w:rPr>
          <w:rFonts w:hint="eastAsia" w:ascii="仿宋_GB2312" w:hAnsi="仿宋_GB2312" w:eastAsia="仿宋_GB2312" w:cs="仿宋_GB2312"/>
          <w:color w:val="000000"/>
          <w:kern w:val="0"/>
          <w:sz w:val="28"/>
          <w:szCs w:val="28"/>
        </w:rPr>
        <w:t>万元，其他支出</w:t>
      </w:r>
      <w:r>
        <w:rPr>
          <w:rFonts w:ascii="仿宋_GB2312" w:hAnsi="仿宋_GB2312" w:eastAsia="仿宋_GB2312" w:cs="仿宋_GB2312"/>
          <w:kern w:val="0"/>
          <w:sz w:val="28"/>
          <w:szCs w:val="28"/>
        </w:rPr>
        <w:t>0.00</w:t>
      </w:r>
      <w:r>
        <w:rPr>
          <w:rFonts w:hint="eastAsia" w:ascii="仿宋_GB2312" w:hAnsi="仿宋_GB2312" w:eastAsia="仿宋_GB2312" w:cs="仿宋_GB2312"/>
          <w:color w:val="000000"/>
          <w:kern w:val="0"/>
          <w:sz w:val="28"/>
          <w:szCs w:val="28"/>
        </w:rPr>
        <w:t>万元。预算执行率为</w:t>
      </w:r>
      <w:r>
        <w:rPr>
          <w:rFonts w:ascii="仿宋_GB2312" w:hAnsi="仿宋_GB2312" w:eastAsia="仿宋_GB2312" w:cs="仿宋_GB2312"/>
          <w:kern w:val="0"/>
          <w:sz w:val="28"/>
          <w:szCs w:val="28"/>
        </w:rPr>
        <w:t>92.28%</w:t>
      </w:r>
      <w:r>
        <w:rPr>
          <w:rFonts w:hint="eastAsia" w:ascii="仿宋_GB2312" w:hAnsi="仿宋_GB2312" w:eastAsia="仿宋_GB2312" w:cs="仿宋_GB2312"/>
          <w:color w:val="000000"/>
          <w:kern w:val="0"/>
          <w:sz w:val="28"/>
          <w:szCs w:val="28"/>
        </w:rPr>
        <w:t>。</w:t>
      </w:r>
    </w:p>
    <w:p>
      <w:pPr>
        <w:ind w:firstLine="560" w:firstLineChars="200"/>
        <w:rPr>
          <w:rFonts w:ascii="黑体" w:hAnsi="黑体" w:eastAsia="黑体" w:cs="仿宋_GB2312"/>
          <w:sz w:val="28"/>
          <w:szCs w:val="28"/>
        </w:rPr>
      </w:pPr>
      <w:r>
        <w:rPr>
          <w:rFonts w:hint="eastAsia" w:ascii="黑体" w:hAnsi="黑体" w:eastAsia="黑体" w:cs="仿宋_GB2312"/>
          <w:sz w:val="28"/>
          <w:szCs w:val="28"/>
        </w:rPr>
        <w:t>三、整体绩效目标实现情况</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（一）产出完成情况分析</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1.</w:t>
      </w:r>
      <w:r>
        <w:rPr>
          <w:rFonts w:hint="eastAsia" w:ascii="仿宋_GB2312" w:hAnsi="仿宋_GB2312" w:eastAsia="仿宋_GB2312" w:cs="仿宋_GB2312"/>
          <w:color w:val="000000"/>
          <w:kern w:val="0"/>
          <w:sz w:val="28"/>
          <w:szCs w:val="28"/>
        </w:rPr>
        <w:t>产出数量</w:t>
      </w:r>
    </w:p>
    <w:p>
      <w:pPr>
        <w:spacing w:line="360" w:lineRule="auto"/>
        <w:ind w:left="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（1）落实上级决策部署</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严格落实上级决策部署和相关工作要求，报送《中共学院委员会2020年度全面述职报告》《中共学院委员会2020年度党委领导下的校长负责制执行情况的专题报告》等。研究</w:t>
      </w:r>
      <w:r>
        <w:rPr>
          <w:rFonts w:ascii="仿宋_GB2312" w:hAnsi="仿宋_GB2312" w:eastAsia="仿宋_GB2312" w:cs="仿宋_GB2312"/>
          <w:color w:val="000000"/>
          <w:kern w:val="0"/>
          <w:sz w:val="28"/>
          <w:szCs w:val="28"/>
        </w:rPr>
        <w:t>制定《中共学院委员会关于做好党员、干部和公职人员涉违法占地、违法建设行为报告的工作安排》，形成工作报告</w:t>
      </w:r>
      <w:r>
        <w:rPr>
          <w:rFonts w:hint="eastAsia" w:ascii="仿宋_GB2312" w:hAnsi="仿宋_GB2312" w:eastAsia="仿宋_GB2312" w:cs="仿宋_GB2312"/>
          <w:color w:val="000000"/>
          <w:kern w:val="0"/>
          <w:sz w:val="28"/>
          <w:szCs w:val="28"/>
        </w:rPr>
        <w:t>并</w:t>
      </w:r>
      <w:r>
        <w:rPr>
          <w:rFonts w:ascii="仿宋_GB2312" w:hAnsi="仿宋_GB2312" w:eastAsia="仿宋_GB2312" w:cs="仿宋_GB2312"/>
          <w:color w:val="000000"/>
          <w:kern w:val="0"/>
          <w:sz w:val="28"/>
          <w:szCs w:val="28"/>
        </w:rPr>
        <w:t>上报。</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（2）科研成果硕果累累</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2021年度11项课题获准立项学院科研课题。全院教职员工发表科研成果140项，其中著作类（含译著、工具书等）19部、论文类121篇。学报出刊4期，发表论文88篇。</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（3）推动公共服务体系建设</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做好图书馆资源建设工作，稳步推进“专业教学资源库”项目的特色资源更新，现有数据库33个，数字资源含电子图书136余万册，电子期刊2.5余万种、45余万册，学位论文近673万册。</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（4）扎实推进项目开展</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2021年，学院申报预算项目</w:t>
      </w:r>
      <w:r>
        <w:rPr>
          <w:rFonts w:ascii="仿宋_GB2312" w:hAnsi="仿宋_GB2312" w:eastAsia="仿宋_GB2312" w:cs="仿宋_GB2312"/>
          <w:color w:val="000000"/>
          <w:kern w:val="0"/>
          <w:sz w:val="28"/>
          <w:szCs w:val="28"/>
        </w:rPr>
        <w:t>13</w:t>
      </w:r>
      <w:r>
        <w:rPr>
          <w:rFonts w:hint="eastAsia" w:ascii="仿宋_GB2312" w:hAnsi="仿宋_GB2312" w:eastAsia="仿宋_GB2312" w:cs="仿宋_GB2312"/>
          <w:color w:val="000000"/>
          <w:kern w:val="0"/>
          <w:sz w:val="28"/>
          <w:szCs w:val="28"/>
        </w:rPr>
        <w:t>个，绩效目标完成情况较好的项目10个，因疫情等原因未能完成目标</w:t>
      </w:r>
      <w:r>
        <w:rPr>
          <w:rFonts w:ascii="仿宋_GB2312" w:hAnsi="仿宋_GB2312" w:eastAsia="仿宋_GB2312" w:cs="仿宋_GB2312"/>
          <w:color w:val="000000"/>
          <w:kern w:val="0"/>
          <w:sz w:val="28"/>
          <w:szCs w:val="28"/>
        </w:rPr>
        <w:t>任务的</w:t>
      </w:r>
      <w:r>
        <w:rPr>
          <w:rFonts w:hint="eastAsia" w:ascii="仿宋_GB2312" w:hAnsi="仿宋_GB2312" w:eastAsia="仿宋_GB2312" w:cs="仿宋_GB2312"/>
          <w:color w:val="000000"/>
          <w:kern w:val="0"/>
          <w:sz w:val="28"/>
          <w:szCs w:val="28"/>
        </w:rPr>
        <w:t>项目3个。</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产出质量</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（1）管理机构进一步完善</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教材建设事关未来的战略工程、基础工程，教材体现国家意志。为此学院成立教材工作委员会，加强完善教材各环节管理，切实提高教材建设与管理水平，使教材建设规范有序，为学院提升教材思想性、科学性、时代性，建设门类齐全、科学合理的教材体系奠定基础。</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（2）办学实力、教学质量进一步提高</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学院组织申报第三批北京市职业院校特色高水平骨干专业和实训基地（工程师学院及技术技能大师工作室）建设项目，学院办学实力、水平进一步提升。继续进行一课堂全覆盖听课、评课，开展学生网上评教、教师评学、教师互评、社会评教、教学信息员反馈等活动，教学质量不断提高，学生学习</w:t>
      </w:r>
      <w:r>
        <w:rPr>
          <w:rFonts w:hint="eastAsia" w:ascii="仿宋_GB2312" w:hAnsi="仿宋_GB2312" w:eastAsia="仿宋_GB2312" w:cs="仿宋_GB2312"/>
          <w:kern w:val="0"/>
          <w:sz w:val="28"/>
          <w:szCs w:val="28"/>
        </w:rPr>
        <w:t>风气显著提升</w:t>
      </w:r>
      <w:r>
        <w:rPr>
          <w:rFonts w:hint="eastAsia" w:ascii="仿宋_GB2312" w:hAnsi="仿宋_GB2312" w:eastAsia="仿宋_GB2312" w:cs="仿宋_GB2312"/>
          <w:color w:val="000000"/>
          <w:kern w:val="0"/>
          <w:sz w:val="28"/>
          <w:szCs w:val="28"/>
        </w:rPr>
        <w:t>。</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（3）思政教育体系进一步健全</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从部门设置、方案完善、课程增加等方面推进学院思政教学改革创新，逐步完善思政教育工作思路和途径，带领和引导学生成长为有理想、有本领、有担当的一代。</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（4）学生管理工作不断强化</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学院加强顶层设计，树立科学的教育观，提高育人质量，促进学生全面发展健康成长。围绕建党百年开展爱国主义教育，聚焦冬奥推荐选拔志愿者，组织进行网络诈骗预防、垃圾分类等专题知识普及活动，注重学生行为规范教育，促进养成良好的行为习惯。</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（5）科研能力和水平进一步提升</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学院首个国家社科基金重大项目《“一带一路”战略下法律供给机制研究》获正国、副国和省部级领导批示</w:t>
      </w:r>
      <w:r>
        <w:rPr>
          <w:rFonts w:ascii="仿宋_GB2312" w:hAnsi="仿宋_GB2312" w:eastAsia="仿宋_GB2312" w:cs="仿宋_GB2312"/>
          <w:color w:val="000000"/>
          <w:kern w:val="0"/>
          <w:sz w:val="28"/>
          <w:szCs w:val="28"/>
        </w:rPr>
        <w:t>10</w:t>
      </w:r>
      <w:r>
        <w:rPr>
          <w:rFonts w:hint="eastAsia" w:ascii="仿宋_GB2312" w:hAnsi="仿宋_GB2312" w:eastAsia="仿宋_GB2312" w:cs="仿宋_GB2312"/>
          <w:color w:val="000000"/>
          <w:kern w:val="0"/>
          <w:sz w:val="28"/>
          <w:szCs w:val="28"/>
        </w:rPr>
        <w:t>项，并顺利结项。《消防工程集成仿真实训系统》获国家计算机软件著作权。组织召开学院学术委员会会议，完成学术评审及院级课题的立项与中期考核等工作。</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（6）专业建设进一步加强</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学院多项工作获得市级以上奖励。其中，《民航安保防卫与控制》获2021年国家级教学能力大赛二等奖。《民航安保防卫与控制》、《识法与找法》等获2021年北京市教学能力大赛一等奖；《2022冬奥会涉外商务接洽》等获2021年北京市教学能力大赛二等奖；《中国梦引领下的强国之路》获2021年北京市教学能力大赛三等奖。其他获奖事项有北京市高校第十二届青年教师教学基本功比赛二等奖、三等奖。智慧司法专业群获第三批北京市职业院校特色高水平骨干专业（群）。《法理学》等3项课程获北京市课程思政示范课程、教学名师和教学团队。</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（7）服务社会、服务政法广度深度进一步拓展</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承办全市第一批政法队伍教育整顿市级指导组培训班、全市教育转化工作培训班、全市互联网企业党建工作培训班、2</w:t>
      </w:r>
      <w:r>
        <w:rPr>
          <w:rFonts w:ascii="仿宋_GB2312" w:hAnsi="仿宋_GB2312" w:eastAsia="仿宋_GB2312" w:cs="仿宋_GB2312"/>
          <w:color w:val="000000"/>
          <w:kern w:val="0"/>
          <w:sz w:val="28"/>
          <w:szCs w:val="28"/>
        </w:rPr>
        <w:t>021</w:t>
      </w:r>
      <w:r>
        <w:rPr>
          <w:rFonts w:hint="eastAsia" w:ascii="仿宋_GB2312" w:hAnsi="仿宋_GB2312" w:eastAsia="仿宋_GB2312" w:cs="仿宋_GB2312"/>
          <w:color w:val="000000"/>
          <w:kern w:val="0"/>
          <w:sz w:val="28"/>
          <w:szCs w:val="28"/>
        </w:rPr>
        <w:t>年司晋督培训班等，取得良好成效</w:t>
      </w:r>
      <w:r>
        <w:rPr>
          <w:rFonts w:ascii="仿宋_GB2312" w:hAnsi="仿宋_GB2312" w:eastAsia="仿宋_GB2312" w:cs="仿宋_GB2312"/>
          <w:color w:val="000000"/>
          <w:kern w:val="0"/>
          <w:sz w:val="28"/>
          <w:szCs w:val="28"/>
        </w:rPr>
        <w:t>。协调组织政法系统</w:t>
      </w:r>
      <w:r>
        <w:rPr>
          <w:rFonts w:hint="eastAsia" w:ascii="仿宋_GB2312" w:hAnsi="仿宋_GB2312" w:eastAsia="仿宋_GB2312" w:cs="仿宋_GB2312"/>
          <w:color w:val="000000"/>
          <w:kern w:val="0"/>
          <w:sz w:val="28"/>
          <w:szCs w:val="28"/>
        </w:rPr>
        <w:t>8</w:t>
      </w:r>
      <w:r>
        <w:rPr>
          <w:rFonts w:ascii="仿宋_GB2312" w:hAnsi="仿宋_GB2312" w:eastAsia="仿宋_GB2312" w:cs="仿宋_GB2312"/>
          <w:color w:val="000000"/>
          <w:kern w:val="0"/>
          <w:sz w:val="28"/>
          <w:szCs w:val="28"/>
        </w:rPr>
        <w:t>0多个基层党组织</w:t>
      </w:r>
      <w:r>
        <w:rPr>
          <w:rFonts w:hint="eastAsia" w:ascii="仿宋_GB2312" w:hAnsi="仿宋_GB2312" w:eastAsia="仿宋_GB2312" w:cs="仿宋_GB2312"/>
          <w:color w:val="000000"/>
          <w:kern w:val="0"/>
          <w:sz w:val="28"/>
          <w:szCs w:val="28"/>
        </w:rPr>
        <w:t>，参观</w:t>
      </w:r>
      <w:r>
        <w:rPr>
          <w:rFonts w:ascii="仿宋_GB2312" w:hAnsi="仿宋_GB2312" w:eastAsia="仿宋_GB2312" w:cs="仿宋_GB2312"/>
          <w:color w:val="000000"/>
          <w:kern w:val="0"/>
          <w:sz w:val="28"/>
          <w:szCs w:val="28"/>
        </w:rPr>
        <w:t>全市政法系统党建队建实训</w:t>
      </w:r>
      <w:r>
        <w:rPr>
          <w:rFonts w:hint="eastAsia" w:ascii="仿宋_GB2312" w:hAnsi="仿宋_GB2312" w:eastAsia="仿宋_GB2312" w:cs="仿宋_GB2312"/>
          <w:color w:val="000000"/>
          <w:kern w:val="0"/>
          <w:sz w:val="28"/>
          <w:szCs w:val="28"/>
        </w:rPr>
        <w:t>基地等。</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产出进度</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根据市委市政府、市委政法委和市教委工作安排，学院细化分解承担的重大任务、重点工作，制定了合理可行的工作计划，确保北京市决策部署得到落实。在执行过程中，以强有力的组织领导、扎实的工作作风、完善的推进措施，推动各项工作取得成效，全年各项工作基本按照工作计划开展、完成。</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产出成本</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学院严格落实预算法规定，按照预算批复开展各项业务，硬化预算约束，合理安排资金，确保先有预算再有支出，未出现无预算、超预算支出。完成2021年总体目标实际支出的资金在预算批复额度以内。</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基本经费支出和项目经费支出均控制在预算范围内，整体成本控制情况较好，全部</w:t>
      </w:r>
      <w:r>
        <w:rPr>
          <w:rFonts w:ascii="仿宋_GB2312" w:hAnsi="仿宋_GB2312" w:eastAsia="仿宋_GB2312" w:cs="仿宋_GB2312"/>
          <w:color w:val="000000"/>
          <w:kern w:val="0"/>
          <w:sz w:val="28"/>
          <w:szCs w:val="28"/>
        </w:rPr>
        <w:t>经费使用控制在</w:t>
      </w:r>
      <w:r>
        <w:rPr>
          <w:rFonts w:hint="eastAsia" w:ascii="仿宋_GB2312" w:hAnsi="仿宋_GB2312" w:eastAsia="仿宋_GB2312" w:cs="仿宋_GB2312"/>
          <w:color w:val="000000"/>
          <w:kern w:val="0"/>
          <w:sz w:val="28"/>
          <w:szCs w:val="28"/>
        </w:rPr>
        <w:t>预算范围内。</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（二）效果实现情况分析</w:t>
      </w:r>
    </w:p>
    <w:p>
      <w:pPr>
        <w:spacing w:line="58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1.</w:t>
      </w:r>
      <w:r>
        <w:rPr>
          <w:rFonts w:hint="eastAsia" w:ascii="仿宋_GB2312" w:hAnsi="仿宋_GB2312" w:eastAsia="仿宋_GB2312" w:cs="仿宋_GB2312"/>
          <w:color w:val="000000"/>
          <w:kern w:val="0"/>
          <w:sz w:val="28"/>
          <w:szCs w:val="28"/>
        </w:rPr>
        <w:t>社会效益</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w:t>
      </w:r>
      <w:r>
        <w:rPr>
          <w:rFonts w:ascii="仿宋_GB2312" w:hAnsi="仿宋_GB2312" w:eastAsia="仿宋_GB2312" w:cs="仿宋_GB2312"/>
          <w:color w:val="000000"/>
          <w:kern w:val="0"/>
          <w:sz w:val="28"/>
          <w:szCs w:val="28"/>
        </w:rPr>
        <w:t>1</w:t>
      </w:r>
      <w:r>
        <w:rPr>
          <w:rFonts w:hint="eastAsia" w:ascii="仿宋_GB2312" w:hAnsi="仿宋_GB2312" w:eastAsia="仿宋_GB2312" w:cs="仿宋_GB2312"/>
          <w:color w:val="000000"/>
          <w:kern w:val="0"/>
          <w:sz w:val="28"/>
          <w:szCs w:val="28"/>
        </w:rPr>
        <w:t>）教育教学改革力度成效显著</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①进一步优化完善专业结构。组织修订2021级人才培养方案，优化公共课设置，规范教学计划运行与开展。新申报民航安全技术管理、智能安防运营管理、影视多媒体技术等新专业。安保专业群三个主干专业影响力在全国名列前茅。法律文秘专业申报速录“1+X”证书，促进课证融通。积极参与司法行指委组织的2个高职新专业和1个职业教育本科专业新专业调研论证和专业简介制定工作。为广东警院、山西警院提供专业建设支持。</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②全面推进思政课教学改革创新。在原思想政治理论课教研部基础上，成立马克思主义学院。研究制定《学院加强“形势与政策”课程教育教学实施方案》，从秋季学期全面开设“形势与政策”课程。研讨军事教育特色教室建设方案，促进军事理论课课程建设科学化和专业化。《政法类高职体育课程融入思政元素的研究》被中国职业技术教育学会评为全国四个重点课题之一。</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③加强教师队伍建设。举办“坚守教育初心、勇担育人使命、深化新时代师德师风建设”专题网络培训班，聚焦学院优秀教师先进事迹，发挥榜样作用，进一步强化教师“教书育人”的责任担当。举办学院2021年教学能力比赛，努力打造一支师德高尚、业务精湛、充满活力的师资队伍。开展辅导员工作典型案例征集评选活动，组织辅导员能力提升线上培训，进一步提升辅导员素质能力。</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（2）学生教育管理服务得到强化</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①学生思想政治教育和校园文化建设得到加强。着力加强“文化育人”顶层设计， 组织全体</w:t>
      </w:r>
      <w:r>
        <w:rPr>
          <w:rFonts w:ascii="仿宋_GB2312" w:hAnsi="仿宋_GB2312" w:eastAsia="仿宋_GB2312" w:cs="仿宋_GB2312"/>
          <w:color w:val="000000"/>
          <w:kern w:val="0"/>
          <w:sz w:val="28"/>
          <w:szCs w:val="28"/>
        </w:rPr>
        <w:t>学生</w:t>
      </w:r>
      <w:r>
        <w:rPr>
          <w:rFonts w:hint="eastAsia" w:ascii="仿宋_GB2312" w:hAnsi="仿宋_GB2312" w:eastAsia="仿宋_GB2312" w:cs="仿宋_GB2312"/>
          <w:color w:val="000000"/>
          <w:kern w:val="0"/>
          <w:sz w:val="28"/>
          <w:szCs w:val="28"/>
        </w:rPr>
        <w:t>开展“向党说句心里话”主题教育实践等活动。组织师生参加北京市中华经典诵写讲大赛，打造特色校园文化品牌。开展国家安全、防诈骗、节能减排、光盘行动、垃圾分类等专题教育，进一步强化学生遵纪守法和安全防范意识。</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②健全完善学生管理工作机制。研究制定《学院学生教育管理工作行动计划》，完成《打造“五育三全”学生管理系统调研报告》，不断提高育人质量。开展新生心理健康普查工作，促进学生健康成长。推动建设学生工作信息化网络平台，实现学生教育管理工作双轨制。</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③招生就业工作进一步加强。加大招生宣传工作力度，丰富和创新宣传方式与手段，构建多渠道、多层次、全方位招生宣传工作格局。完成面向</w:t>
      </w:r>
      <w:r>
        <w:rPr>
          <w:rFonts w:ascii="仿宋_GB2312" w:hAnsi="仿宋_GB2312" w:eastAsia="仿宋_GB2312" w:cs="仿宋_GB2312"/>
          <w:color w:val="000000"/>
          <w:kern w:val="0"/>
          <w:sz w:val="28"/>
          <w:szCs w:val="28"/>
        </w:rPr>
        <w:t>2021</w:t>
      </w:r>
      <w:r>
        <w:rPr>
          <w:rFonts w:hint="eastAsia" w:ascii="仿宋_GB2312" w:hAnsi="仿宋_GB2312" w:eastAsia="仿宋_GB2312" w:cs="仿宋_GB2312"/>
          <w:color w:val="000000"/>
          <w:kern w:val="0"/>
          <w:sz w:val="28"/>
          <w:szCs w:val="28"/>
        </w:rPr>
        <w:t>年退出现役并自主就业退役军人的高职扩招工作。研究制定《学院就业工作行动计划》，进一步完善就业服务体系，健全就业工作机制，提高就业服务水平。</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可持续性影响</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（1）治理能力进一步提升</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①认真落实党委领导下的院长负责制。严格执行学院章程、“三重一大”决策制度等，不断健全完善党委统一领导、党政分工合作、协调运行的工作机制。修订《学院党务公开实施办法》等办法，积极推进党务、校务公开。</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②落实依法治校、依法办学。积极推进新一轮规章制度的“废改立”工作。修订《学院合同管理办法》，进一步规范合同管理工作。</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（2）办学保障能力建设进一步加强</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①做好人事、财务、审计工作。认真完成20</w:t>
      </w:r>
      <w:r>
        <w:rPr>
          <w:rFonts w:ascii="仿宋_GB2312" w:hAnsi="仿宋_GB2312" w:eastAsia="仿宋_GB2312" w:cs="仿宋_GB2312"/>
          <w:color w:val="000000"/>
          <w:kern w:val="0"/>
          <w:sz w:val="28"/>
          <w:szCs w:val="28"/>
        </w:rPr>
        <w:t>20</w:t>
      </w:r>
      <w:r>
        <w:rPr>
          <w:rFonts w:hint="eastAsia" w:ascii="仿宋_GB2312" w:hAnsi="仿宋_GB2312" w:eastAsia="仿宋_GB2312" w:cs="仿宋_GB2312"/>
          <w:color w:val="000000"/>
          <w:kern w:val="0"/>
          <w:sz w:val="28"/>
          <w:szCs w:val="28"/>
        </w:rPr>
        <w:t>年度教职工年度考核奖励工作；开展专项调研，积极推进薪酬分配制度改革。完成绩效分配制度改革调研，推动建立以绩效、贡献为主的绩效工资制度。制定出台及</w:t>
      </w:r>
      <w:r>
        <w:rPr>
          <w:rFonts w:ascii="仿宋_GB2312" w:hAnsi="仿宋_GB2312" w:eastAsia="仿宋_GB2312" w:cs="仿宋_GB2312"/>
          <w:color w:val="000000"/>
          <w:kern w:val="0"/>
          <w:sz w:val="28"/>
          <w:szCs w:val="28"/>
        </w:rPr>
        <w:t>修订</w:t>
      </w:r>
      <w:r>
        <w:rPr>
          <w:rFonts w:hint="eastAsia" w:ascii="仿宋_GB2312" w:hAnsi="仿宋_GB2312" w:eastAsia="仿宋_GB2312" w:cs="仿宋_GB2312"/>
          <w:color w:val="000000"/>
          <w:kern w:val="0"/>
          <w:sz w:val="28"/>
          <w:szCs w:val="28"/>
        </w:rPr>
        <w:t>了《学院财务报销管理办法（试行）》《</w:t>
      </w:r>
      <w:r>
        <w:rPr>
          <w:rFonts w:hint="eastAsia" w:ascii="仿宋_GB2312" w:hAnsi="仿宋_GB2312" w:eastAsia="仿宋_GB2312" w:cs="仿宋_GB2312"/>
          <w:color w:val="000000"/>
          <w:kern w:val="0"/>
          <w:sz w:val="28"/>
          <w:szCs w:val="28"/>
          <w:lang w:eastAsia="zh-CN"/>
        </w:rPr>
        <w:t>学院</w:t>
      </w:r>
      <w:r>
        <w:rPr>
          <w:rFonts w:hint="eastAsia" w:ascii="仿宋_GB2312" w:hAnsi="仿宋_GB2312" w:eastAsia="仿宋_GB2312" w:cs="仿宋_GB2312"/>
          <w:color w:val="000000"/>
          <w:kern w:val="0"/>
          <w:sz w:val="28"/>
          <w:szCs w:val="28"/>
        </w:rPr>
        <w:t>项目预算与实施管理办法（试行）》《学院公务卡管理实施细则》等制度，进一步规范财务审批报销流程，防范廉政风险。为提高审计工作科学化、规范化、制度化水平，制定了《学院处级领导干部经济责任审计工作实施办法》等办法，稳妥推进了项目审计和经济责任审计工作。</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②推进后勤保障能力建设。研究制定及</w:t>
      </w:r>
      <w:r>
        <w:rPr>
          <w:rFonts w:ascii="仿宋_GB2312" w:hAnsi="仿宋_GB2312" w:eastAsia="仿宋_GB2312" w:cs="仿宋_GB2312"/>
          <w:color w:val="000000"/>
          <w:kern w:val="0"/>
          <w:sz w:val="28"/>
          <w:szCs w:val="28"/>
        </w:rPr>
        <w:t>修订了</w:t>
      </w:r>
      <w:r>
        <w:rPr>
          <w:rFonts w:hint="eastAsia" w:ascii="仿宋_GB2312" w:hAnsi="仿宋_GB2312" w:eastAsia="仿宋_GB2312" w:cs="仿宋_GB2312"/>
          <w:color w:val="000000"/>
          <w:kern w:val="0"/>
          <w:sz w:val="28"/>
          <w:szCs w:val="28"/>
        </w:rPr>
        <w:t>《学院招标工作委员会议事规则（试行）》《学院采购管理办法》，进一步规范采购行为，提高采购工作的透明度和公信力。制定《学院关于推进绿色校园建设的实施方案》等，积极开展绿色学校创建工作。</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服务对象满意度</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学院2021年多项工作受到上级有关单位或领导的表扬或批示，“北京政法”微博荣获“全国十大政法委微博”。</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连续十一年荣获“北京市征兵工作先进单位”荣誉称号。在中国科教评价网发布的《高职专业群及专业排行榜》中，学院在公安与司法专业大类、侦查类、法律实务类、国内安全保卫、安全技术防范、劳动与社会保障等专业竞争力排行榜中均名列前茅</w:t>
      </w:r>
      <w:r>
        <w:rPr>
          <w:rFonts w:ascii="仿宋_GB2312" w:hAnsi="仿宋_GB2312" w:eastAsia="仿宋_GB2312" w:cs="仿宋_GB2312"/>
          <w:color w:val="000000"/>
          <w:kern w:val="0"/>
          <w:sz w:val="28"/>
          <w:szCs w:val="28"/>
        </w:rPr>
        <w:t>。</w:t>
      </w:r>
    </w:p>
    <w:p>
      <w:pPr>
        <w:ind w:firstLine="560" w:firstLineChars="200"/>
        <w:rPr>
          <w:rFonts w:ascii="黑体" w:hAnsi="黑体" w:eastAsia="黑体" w:cs="仿宋_GB2312"/>
          <w:sz w:val="28"/>
          <w:szCs w:val="28"/>
        </w:rPr>
      </w:pPr>
      <w:r>
        <w:rPr>
          <w:rFonts w:hint="eastAsia" w:ascii="黑体" w:hAnsi="黑体" w:eastAsia="黑体" w:cs="仿宋_GB2312"/>
          <w:sz w:val="28"/>
          <w:szCs w:val="28"/>
        </w:rPr>
        <w:t>四、预算管理情况分析</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学院推进预算管理一体化，建立了健全的预算管理制度体系，强化预算约束，规范预算行为，健全预算监督，对预算项目实行全生命周期管理，全面提升预算管理水平，但在资产管理和预算执行进度方面还有提升空间。</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（一）财务管理</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学院加强财务管理，规范财务秩序，建立了健全的管理制度体系，各项制度具有可操作性；建立了有效的制度执行监督机制，确保资产使用安全合规；会计基础数据信息和资料真实、准确、完整，能够真实、客观、全面地反映学院财务状况。</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财务管理制度健全性</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学院建立了健全的管理制度体系，各项制度结构内容完整、具有可操作性，建立了有效的制度执行监督机制。能够严格按照财政部《行政事业单位内部控制》规范要求，建立了财务管理、预算管理、收支管理、采购管理、资产管理和合同管理等健全、有效的内控制度体系，针对科研、教职工等制定了针对性的管理制度，</w:t>
      </w:r>
      <w:r>
        <w:rPr>
          <w:rFonts w:ascii="仿宋_GB2312" w:hAnsi="仿宋_GB2312" w:eastAsia="仿宋_GB2312" w:cs="仿宋_GB2312"/>
          <w:color w:val="000000"/>
          <w:kern w:val="0"/>
          <w:sz w:val="28"/>
          <w:szCs w:val="28"/>
        </w:rPr>
        <w:t>确保学院财务和业务活动能够在制度的框架内进行</w:t>
      </w:r>
      <w:r>
        <w:rPr>
          <w:rFonts w:hint="eastAsia" w:ascii="仿宋_GB2312" w:hAnsi="仿宋_GB2312" w:eastAsia="仿宋_GB2312" w:cs="仿宋_GB2312"/>
          <w:color w:val="000000"/>
          <w:kern w:val="0"/>
          <w:sz w:val="28"/>
          <w:szCs w:val="28"/>
        </w:rPr>
        <w:t>。</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资金使用合规性和安全性</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通过建立健全法规制度、加强管理、严格监督，保证资金在使用和支付过程中，能够按照部门预算、用款计划及相关要求，准确、及时、足额并能够确保按规定拨付和使用。</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会计基础信息完善性</w:t>
      </w:r>
    </w:p>
    <w:p>
      <w:pPr>
        <w:spacing w:line="360" w:lineRule="auto"/>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按照国家统一的会计制度规定，填制会计凭证、登记账簿、编制会计报表，确保数字真实、计算准确、内容完整、说明清楚、及时报送。</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（二）资产管理</w:t>
      </w:r>
    </w:p>
    <w:p>
      <w:pPr>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贯彻执行国家有关国有资产管理的法律、法规和政策，坚持勤俭节约、从严控制，规范和加强国有资产管理，维护国有资产的安全、完整，合理配置国有资产，提高国有资产使用效益，保障正常履职需要和学院正常运转。</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（三）绩效管理</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绩效管理取得较大成效，围绕“事前、事中、事后”各环节，建立了贯穿预算编制、执行、监督全过程的预算绩效管理体系，将绩效管理的理念和要求融入项目支出预算管理各个环节，充分发挥财政资金使用效益。</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（四）结转结余率</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严格按照上级有关要求，制定加快支出进度的措施，通过大力推动项目实施加快支出进度。与2020年比，2021年实现了结转结余率下降，比</w:t>
      </w:r>
      <w:r>
        <w:rPr>
          <w:rFonts w:ascii="仿宋_GB2312" w:hAnsi="仿宋_GB2312" w:eastAsia="仿宋_GB2312" w:cs="仿宋_GB2312"/>
          <w:sz w:val="28"/>
          <w:szCs w:val="28"/>
        </w:rPr>
        <w:t>上一年</w:t>
      </w:r>
      <w:r>
        <w:rPr>
          <w:rFonts w:hint="eastAsia" w:ascii="仿宋_GB2312" w:hAnsi="仿宋_GB2312" w:eastAsia="仿宋_GB2312" w:cs="仿宋_GB2312"/>
          <w:sz w:val="28"/>
          <w:szCs w:val="28"/>
        </w:rPr>
        <w:t>下降了</w:t>
      </w:r>
      <w:r>
        <w:rPr>
          <w:rFonts w:ascii="仿宋_GB2312" w:hAnsi="仿宋_GB2312" w:eastAsia="仿宋_GB2312" w:cs="仿宋_GB2312"/>
          <w:sz w:val="28"/>
          <w:szCs w:val="28"/>
        </w:rPr>
        <w:t>2.66</w:t>
      </w:r>
      <w:r>
        <w:rPr>
          <w:rFonts w:hint="eastAsia" w:ascii="仿宋_GB2312" w:hAnsi="仿宋_GB2312" w:eastAsia="仿宋_GB2312" w:cs="仿宋_GB2312"/>
          <w:sz w:val="28"/>
          <w:szCs w:val="28"/>
        </w:rPr>
        <w:t>%。</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（五）部门预决算差异率</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学院多措并举强化预算编制管理，切实提高预算编制的规范性、科学性，部门预决算差异率控制情况较好，低于全市平均水平。</w:t>
      </w:r>
      <w:bookmarkStart w:id="0" w:name="_GoBack"/>
      <w:bookmarkEnd w:id="0"/>
    </w:p>
    <w:p>
      <w:pPr>
        <w:ind w:firstLine="560" w:firstLineChars="200"/>
        <w:rPr>
          <w:rFonts w:ascii="黑体" w:hAnsi="黑体" w:eastAsia="黑体" w:cs="仿宋_GB2312"/>
          <w:sz w:val="28"/>
          <w:szCs w:val="28"/>
        </w:rPr>
      </w:pPr>
      <w:r>
        <w:rPr>
          <w:rFonts w:hint="eastAsia" w:ascii="黑体" w:hAnsi="黑体" w:eastAsia="黑体" w:cs="仿宋_GB2312"/>
          <w:sz w:val="28"/>
          <w:szCs w:val="28"/>
        </w:rPr>
        <w:t>五、总体评价结论</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（一）评价得分情况</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经过全面、系统和客观的分析，学院</w:t>
      </w:r>
      <w:r>
        <w:rPr>
          <w:rFonts w:ascii="仿宋_GB2312" w:hAnsi="仿宋_GB2312" w:eastAsia="仿宋_GB2312" w:cs="仿宋_GB2312"/>
          <w:sz w:val="28"/>
          <w:szCs w:val="28"/>
        </w:rPr>
        <w:t>2021年部门整体绩效评价得分为89.96</w:t>
      </w:r>
      <w:r>
        <w:rPr>
          <w:rFonts w:hint="eastAsia" w:ascii="仿宋_GB2312" w:hAnsi="仿宋_GB2312" w:eastAsia="仿宋_GB2312" w:cs="仿宋_GB2312"/>
          <w:sz w:val="28"/>
          <w:szCs w:val="28"/>
        </w:rPr>
        <w:t>分（满分</w:t>
      </w:r>
      <w:r>
        <w:rPr>
          <w:rFonts w:ascii="仿宋_GB2312" w:hAnsi="仿宋_GB2312" w:eastAsia="仿宋_GB2312" w:cs="仿宋_GB2312"/>
          <w:sz w:val="28"/>
          <w:szCs w:val="28"/>
        </w:rPr>
        <w:t>100.00</w:t>
      </w:r>
      <w:r>
        <w:rPr>
          <w:rFonts w:hint="eastAsia" w:ascii="仿宋_GB2312" w:hAnsi="仿宋_GB2312" w:eastAsia="仿宋_GB2312" w:cs="仿宋_GB2312"/>
          <w:sz w:val="28"/>
          <w:szCs w:val="28"/>
        </w:rPr>
        <w:t>分，得分率</w:t>
      </w:r>
      <w:r>
        <w:rPr>
          <w:rFonts w:ascii="仿宋_GB2312" w:hAnsi="仿宋_GB2312" w:eastAsia="仿宋_GB2312" w:cs="仿宋_GB2312"/>
          <w:sz w:val="28"/>
          <w:szCs w:val="28"/>
        </w:rPr>
        <w:t>89.96%），综合评价等</w:t>
      </w:r>
      <w:r>
        <w:rPr>
          <w:rFonts w:hint="eastAsia" w:ascii="仿宋_GB2312" w:hAnsi="仿宋_GB2312" w:eastAsia="仿宋_GB2312" w:cs="仿宋_GB2312"/>
          <w:sz w:val="28"/>
          <w:szCs w:val="28"/>
        </w:rPr>
        <w:t>级</w:t>
      </w:r>
      <w:r>
        <w:rPr>
          <w:rFonts w:ascii="仿宋_GB2312" w:hAnsi="仿宋_GB2312" w:eastAsia="仿宋_GB2312" w:cs="仿宋_GB2312"/>
          <w:sz w:val="28"/>
          <w:szCs w:val="28"/>
        </w:rPr>
        <w:t>为“</w:t>
      </w:r>
      <w:r>
        <w:rPr>
          <w:rFonts w:hint="eastAsia" w:ascii="仿宋_GB2312" w:hAnsi="仿宋_GB2312" w:eastAsia="仿宋_GB2312" w:cs="仿宋_GB2312"/>
          <w:sz w:val="28"/>
          <w:szCs w:val="28"/>
        </w:rPr>
        <w:t>良好”。</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）当年预算执行情况方面，</w:t>
      </w:r>
      <w:r>
        <w:rPr>
          <w:rFonts w:ascii="仿宋_GB2312" w:hAnsi="仿宋_GB2312" w:eastAsia="仿宋_GB2312" w:cs="仿宋_GB2312"/>
          <w:sz w:val="28"/>
          <w:szCs w:val="28"/>
        </w:rPr>
        <w:t>2021年预算执行率92.28%，评价得分18.46</w:t>
      </w:r>
      <w:r>
        <w:rPr>
          <w:rFonts w:hint="eastAsia" w:ascii="仿宋_GB2312" w:hAnsi="仿宋_GB2312" w:eastAsia="仿宋_GB2312" w:cs="仿宋_GB2312"/>
          <w:sz w:val="28"/>
          <w:szCs w:val="28"/>
        </w:rPr>
        <w:t>分（满分</w:t>
      </w:r>
      <w:r>
        <w:rPr>
          <w:rFonts w:ascii="仿宋_GB2312" w:hAnsi="仿宋_GB2312" w:eastAsia="仿宋_GB2312" w:cs="仿宋_GB2312"/>
          <w:sz w:val="28"/>
          <w:szCs w:val="28"/>
        </w:rPr>
        <w:t>20.00</w:t>
      </w:r>
      <w:r>
        <w:rPr>
          <w:rFonts w:hint="eastAsia" w:ascii="仿宋_GB2312" w:hAnsi="仿宋_GB2312" w:eastAsia="仿宋_GB2312" w:cs="仿宋_GB2312"/>
          <w:sz w:val="28"/>
          <w:szCs w:val="28"/>
        </w:rPr>
        <w:t>分，得分率</w:t>
      </w:r>
      <w:r>
        <w:rPr>
          <w:rFonts w:ascii="仿宋_GB2312" w:hAnsi="仿宋_GB2312" w:eastAsia="仿宋_GB2312" w:cs="仿宋_GB2312"/>
          <w:sz w:val="28"/>
          <w:szCs w:val="28"/>
        </w:rPr>
        <w:t>92.</w:t>
      </w:r>
      <w:r>
        <w:rPr>
          <w:rFonts w:hint="eastAsia" w:ascii="仿宋_GB2312" w:hAnsi="仿宋_GB2312" w:eastAsia="仿宋_GB2312" w:cs="仿宋_GB2312"/>
          <w:sz w:val="28"/>
          <w:szCs w:val="28"/>
        </w:rPr>
        <w:t>28</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）整体绩效目标实现情况方面，受疫情影响，个别项目未开展，其他产出指标和效益指标均全部完成，评价得分</w:t>
      </w:r>
      <w:r>
        <w:rPr>
          <w:rFonts w:ascii="仿宋_GB2312" w:hAnsi="仿宋_GB2312" w:eastAsia="仿宋_GB2312" w:cs="仿宋_GB2312"/>
          <w:sz w:val="28"/>
          <w:szCs w:val="28"/>
        </w:rPr>
        <w:t>54.00</w:t>
      </w:r>
      <w:r>
        <w:rPr>
          <w:rFonts w:hint="eastAsia" w:ascii="仿宋_GB2312" w:hAnsi="仿宋_GB2312" w:eastAsia="仿宋_GB2312" w:cs="仿宋_GB2312"/>
          <w:sz w:val="28"/>
          <w:szCs w:val="28"/>
        </w:rPr>
        <w:t>分（满分</w:t>
      </w:r>
      <w:r>
        <w:rPr>
          <w:rFonts w:ascii="仿宋_GB2312" w:hAnsi="仿宋_GB2312" w:eastAsia="仿宋_GB2312" w:cs="仿宋_GB2312"/>
          <w:sz w:val="28"/>
          <w:szCs w:val="28"/>
        </w:rPr>
        <w:t>60.00</w:t>
      </w:r>
      <w:r>
        <w:rPr>
          <w:rFonts w:hint="eastAsia" w:ascii="仿宋_GB2312" w:hAnsi="仿宋_GB2312" w:eastAsia="仿宋_GB2312" w:cs="仿宋_GB2312"/>
          <w:sz w:val="28"/>
          <w:szCs w:val="28"/>
        </w:rPr>
        <w:t>分，得分率</w:t>
      </w:r>
      <w:r>
        <w:rPr>
          <w:rFonts w:ascii="仿宋_GB2312" w:hAnsi="仿宋_GB2312" w:eastAsia="仿宋_GB2312" w:cs="仿宋_GB2312"/>
          <w:sz w:val="28"/>
          <w:szCs w:val="28"/>
        </w:rPr>
        <w:t>90.00%）。（</w:t>
      </w:r>
      <w:r>
        <w:rPr>
          <w:rFonts w:hint="eastAsia" w:ascii="仿宋_GB2312" w:hAnsi="仿宋_GB2312" w:eastAsia="仿宋_GB2312" w:cs="仿宋_GB2312"/>
          <w:sz w:val="28"/>
          <w:szCs w:val="28"/>
        </w:rPr>
        <w:t>3</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预算管理情况方面，制度体系比较健全，执行比较到位，监督比较有效，评价得分</w:t>
      </w:r>
      <w:r>
        <w:rPr>
          <w:rFonts w:ascii="仿宋_GB2312" w:hAnsi="仿宋_GB2312" w:eastAsia="仿宋_GB2312" w:cs="仿宋_GB2312"/>
          <w:sz w:val="28"/>
          <w:szCs w:val="28"/>
        </w:rPr>
        <w:t>17.50</w:t>
      </w:r>
      <w:r>
        <w:rPr>
          <w:rFonts w:hint="eastAsia" w:ascii="仿宋_GB2312" w:hAnsi="仿宋_GB2312" w:eastAsia="仿宋_GB2312" w:cs="仿宋_GB2312"/>
          <w:sz w:val="28"/>
          <w:szCs w:val="28"/>
        </w:rPr>
        <w:t>分（满分</w:t>
      </w:r>
      <w:r>
        <w:rPr>
          <w:rFonts w:ascii="仿宋_GB2312" w:hAnsi="仿宋_GB2312" w:eastAsia="仿宋_GB2312" w:cs="仿宋_GB2312"/>
          <w:sz w:val="28"/>
          <w:szCs w:val="28"/>
        </w:rPr>
        <w:t>20.00</w:t>
      </w:r>
      <w:r>
        <w:rPr>
          <w:rFonts w:hint="eastAsia" w:ascii="仿宋_GB2312" w:hAnsi="仿宋_GB2312" w:eastAsia="仿宋_GB2312" w:cs="仿宋_GB2312"/>
          <w:sz w:val="28"/>
          <w:szCs w:val="28"/>
        </w:rPr>
        <w:t>分，得分率</w:t>
      </w:r>
      <w:r>
        <w:rPr>
          <w:rFonts w:ascii="仿宋_GB2312" w:hAnsi="仿宋_GB2312" w:eastAsia="仿宋_GB2312" w:cs="仿宋_GB2312"/>
          <w:sz w:val="28"/>
          <w:szCs w:val="28"/>
        </w:rPr>
        <w:t>87.50%）</w:t>
      </w:r>
      <w:r>
        <w:rPr>
          <w:rFonts w:hint="eastAsia" w:ascii="仿宋_GB2312" w:hAnsi="仿宋_GB2312" w:eastAsia="仿宋_GB2312" w:cs="仿宋_GB2312"/>
          <w:sz w:val="28"/>
          <w:szCs w:val="28"/>
        </w:rPr>
        <w:t>。（具体得分情况详见</w:t>
      </w:r>
      <w:r>
        <w:rPr>
          <w:rFonts w:ascii="仿宋_GB2312" w:hAnsi="仿宋_GB2312" w:eastAsia="仿宋_GB2312" w:cs="仿宋_GB2312"/>
          <w:sz w:val="28"/>
          <w:szCs w:val="28"/>
        </w:rPr>
        <w:t>2021年部门整体绩效评价指标体系评分表</w:t>
      </w:r>
      <w:r>
        <w:rPr>
          <w:rFonts w:hint="eastAsia" w:ascii="仿宋_GB2312" w:hAnsi="仿宋_GB2312" w:eastAsia="仿宋_GB2312" w:cs="仿宋_GB2312"/>
          <w:sz w:val="28"/>
          <w:szCs w:val="28"/>
        </w:rPr>
        <w:t>）</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（二）存在的问题及原因分析</w:t>
      </w:r>
    </w:p>
    <w:p>
      <w:pPr>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r>
        <w:rPr>
          <w:rFonts w:ascii="仿宋_GB2312" w:hAnsi="仿宋_GB2312" w:eastAsia="仿宋_GB2312" w:cs="仿宋_GB2312"/>
          <w:color w:val="000000"/>
          <w:kern w:val="0"/>
          <w:sz w:val="28"/>
          <w:szCs w:val="28"/>
        </w:rPr>
        <w:t>.个别项目受疫情影响无法开展</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受疫情影响，个别项目无法按照年初工作计划开展相关工作，绩效目标</w:t>
      </w:r>
      <w:r>
        <w:rPr>
          <w:rFonts w:ascii="仿宋_GB2312" w:hAnsi="仿宋_GB2312" w:eastAsia="仿宋_GB2312" w:cs="仿宋_GB2312"/>
          <w:sz w:val="28"/>
          <w:szCs w:val="28"/>
        </w:rPr>
        <w:t>的</w:t>
      </w:r>
      <w:r>
        <w:rPr>
          <w:rFonts w:hint="eastAsia" w:ascii="仿宋_GB2312" w:hAnsi="仿宋_GB2312" w:eastAsia="仿宋_GB2312" w:cs="仿宋_GB2312"/>
          <w:sz w:val="28"/>
          <w:szCs w:val="28"/>
        </w:rPr>
        <w:t>产出和效益实现略有滞后。</w:t>
      </w:r>
    </w:p>
    <w:p>
      <w:pPr>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.部门整体绩效目标设定需进一步规范</w:t>
      </w:r>
    </w:p>
    <w:p>
      <w:pPr>
        <w:pStyle w:val="2"/>
        <w:ind w:firstLine="560"/>
        <w:rPr>
          <w:rFonts w:ascii="仿宋_GB2312" w:hAnsi="仿宋_GB2312" w:eastAsia="仿宋_GB2312" w:cs="仿宋_GB2312"/>
          <w:sz w:val="28"/>
          <w:szCs w:val="28"/>
        </w:rPr>
      </w:pPr>
      <w:r>
        <w:rPr>
          <w:rFonts w:ascii="仿宋_GB2312" w:hAnsi="仿宋_GB2312" w:eastAsia="仿宋_GB2312" w:cs="仿宋_GB2312"/>
          <w:sz w:val="28"/>
          <w:szCs w:val="28"/>
        </w:rPr>
        <w:t>2021年，学院设定了1个总体绩效目标，14个具体指标，具体指标</w:t>
      </w:r>
      <w:r>
        <w:rPr>
          <w:rFonts w:hint="eastAsia" w:ascii="仿宋_GB2312" w:hAnsi="仿宋_GB2312" w:eastAsia="仿宋_GB2312" w:cs="仿宋_GB2312"/>
          <w:sz w:val="28"/>
          <w:szCs w:val="28"/>
        </w:rPr>
        <w:t>设定的细化、量化水平还需进一步加强。</w:t>
      </w:r>
    </w:p>
    <w:p>
      <w:pPr>
        <w:ind w:firstLine="560" w:firstLineChars="200"/>
        <w:rPr>
          <w:rFonts w:ascii="黑体" w:hAnsi="黑体" w:eastAsia="黑体" w:cs="仿宋_GB2312"/>
          <w:sz w:val="28"/>
          <w:szCs w:val="28"/>
        </w:rPr>
      </w:pPr>
      <w:r>
        <w:rPr>
          <w:rFonts w:hint="eastAsia" w:ascii="黑体" w:hAnsi="黑体" w:eastAsia="黑体" w:cs="仿宋_GB2312"/>
          <w:sz w:val="28"/>
          <w:szCs w:val="28"/>
        </w:rPr>
        <w:t>六、措施建议</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（一）加强项目执行计划管控</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增强预算执行主体责任，压实预算绩效管理责任。建议加强项目预算进度执行力度，合理安排实施时间，把控项目整体节奏。</w:t>
      </w:r>
    </w:p>
    <w:p>
      <w:pPr>
        <w:spacing w:line="580" w:lineRule="exact"/>
        <w:ind w:firstLine="560" w:firstLineChars="200"/>
        <w:rPr>
          <w:rFonts w:ascii="楷体" w:hAnsi="楷体" w:eastAsia="楷体" w:cs="仿宋_GB2312"/>
          <w:sz w:val="28"/>
          <w:szCs w:val="28"/>
        </w:rPr>
      </w:pPr>
      <w:r>
        <w:rPr>
          <w:rFonts w:hint="eastAsia" w:ascii="楷体" w:hAnsi="楷体" w:eastAsia="楷体" w:cs="仿宋_GB2312"/>
          <w:sz w:val="28"/>
          <w:szCs w:val="28"/>
        </w:rPr>
        <w:t>（二）提高部门整体绩效目标设定的规范性</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按照市财政局绩效目标管理办法的要求，本着科学性合理性原则，以年度工作任务为目标，进一步增强指标设置的科学性和合理性，提高资金使用效益。</w:t>
      </w:r>
    </w:p>
    <w:p>
      <w:pPr>
        <w:pStyle w:val="2"/>
        <w:ind w:firstLine="420"/>
      </w:pPr>
    </w:p>
    <w:p>
      <w:pPr>
        <w:pStyle w:val="2"/>
        <w:ind w:firstLine="420"/>
      </w:pPr>
    </w:p>
    <w:p>
      <w:pPr>
        <w:pStyle w:val="2"/>
        <w:ind w:firstLine="420"/>
      </w:pPr>
    </w:p>
    <w:p>
      <w:pPr>
        <w:widowControl/>
        <w:jc w:val="left"/>
      </w:pPr>
      <w:r>
        <w:br w:type="page"/>
      </w:r>
    </w:p>
    <w:tbl>
      <w:tblPr>
        <w:tblStyle w:val="9"/>
        <w:tblW w:w="5000" w:type="pct"/>
        <w:tblInd w:w="0" w:type="dxa"/>
        <w:tblLayout w:type="autofit"/>
        <w:tblCellMar>
          <w:top w:w="0" w:type="dxa"/>
          <w:left w:w="108" w:type="dxa"/>
          <w:bottom w:w="0" w:type="dxa"/>
          <w:right w:w="108" w:type="dxa"/>
        </w:tblCellMar>
      </w:tblPr>
      <w:tblGrid>
        <w:gridCol w:w="872"/>
        <w:gridCol w:w="914"/>
        <w:gridCol w:w="1165"/>
        <w:gridCol w:w="1165"/>
        <w:gridCol w:w="852"/>
        <w:gridCol w:w="642"/>
        <w:gridCol w:w="955"/>
        <w:gridCol w:w="4099"/>
        <w:gridCol w:w="4122"/>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kern w:val="0"/>
                <w:sz w:val="44"/>
                <w:szCs w:val="44"/>
              </w:rPr>
            </w:pPr>
            <w:r>
              <w:rPr>
                <w:rFonts w:ascii="仿宋_GB2312" w:hAnsi="仿宋_GB2312" w:eastAsia="仿宋_GB2312" w:cs="仿宋_GB2312"/>
                <w:sz w:val="28"/>
                <w:szCs w:val="28"/>
              </w:rPr>
              <w:t>2021年部门整体绩效评价指标体系评分表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一、</w:t>
            </w:r>
            <w:r>
              <w:rPr>
                <w:rFonts w:hint="eastAsia" w:ascii="宋体" w:hAnsi="宋体" w:cs="宋体"/>
                <w:kern w:val="0"/>
                <w:sz w:val="20"/>
                <w:szCs w:val="20"/>
              </w:rPr>
              <w:t>当年预算执行情况（</w:t>
            </w:r>
            <w:r>
              <w:rPr>
                <w:rFonts w:ascii="宋体" w:hAnsi="宋体" w:cs="宋体"/>
                <w:kern w:val="0"/>
                <w:sz w:val="20"/>
                <w:szCs w:val="20"/>
              </w:rPr>
              <w:t>20分）</w:t>
            </w:r>
          </w:p>
        </w:tc>
      </w:tr>
      <w:tr>
        <w:tblPrEx>
          <w:tblCellMar>
            <w:top w:w="0" w:type="dxa"/>
            <w:left w:w="108" w:type="dxa"/>
            <w:bottom w:w="0" w:type="dxa"/>
            <w:right w:w="108" w:type="dxa"/>
          </w:tblCellMar>
        </w:tblPrEx>
        <w:trPr>
          <w:trHeight w:val="660" w:hRule="atLeast"/>
        </w:trPr>
        <w:tc>
          <w:tcPr>
            <w:tcW w:w="2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w:t>
            </w:r>
            <w:r>
              <w:rPr>
                <w:rFonts w:ascii="宋体" w:hAnsi="宋体" w:cs="宋体"/>
                <w:kern w:val="0"/>
                <w:sz w:val="20"/>
                <w:szCs w:val="20"/>
              </w:rPr>
              <w:t>级指标</w:t>
            </w:r>
            <w:r>
              <w:rPr>
                <w:rFonts w:hint="eastAsia" w:ascii="宋体" w:hAnsi="宋体" w:cs="宋体"/>
                <w:kern w:val="0"/>
                <w:sz w:val="20"/>
                <w:szCs w:val="20"/>
              </w:rPr>
              <w:t>　</w:t>
            </w:r>
          </w:p>
        </w:tc>
        <w:tc>
          <w:tcPr>
            <w:tcW w:w="30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w:t>
            </w:r>
            <w:r>
              <w:rPr>
                <w:rFonts w:ascii="宋体" w:hAnsi="宋体" w:cs="宋体"/>
                <w:kern w:val="0"/>
                <w:sz w:val="20"/>
                <w:szCs w:val="20"/>
              </w:rPr>
              <w:t>级指标</w:t>
            </w:r>
            <w:r>
              <w:rPr>
                <w:rFonts w:hint="eastAsia" w:ascii="宋体" w:hAnsi="宋体" w:cs="宋体"/>
                <w:kern w:val="0"/>
                <w:sz w:val="20"/>
                <w:szCs w:val="20"/>
              </w:rPr>
              <w:t>　</w:t>
            </w: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预算数（万元）</w:t>
            </w: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执行数（万元）</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预算执行率</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32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指标解释</w:t>
            </w:r>
          </w:p>
        </w:tc>
        <w:tc>
          <w:tcPr>
            <w:tcW w:w="1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评分标准</w:t>
            </w:r>
          </w:p>
        </w:tc>
      </w:tr>
      <w:tr>
        <w:tblPrEx>
          <w:tblCellMar>
            <w:top w:w="0" w:type="dxa"/>
            <w:left w:w="108" w:type="dxa"/>
            <w:bottom w:w="0" w:type="dxa"/>
            <w:right w:w="108" w:type="dxa"/>
          </w:tblCellMar>
        </w:tblPrEx>
        <w:trPr>
          <w:trHeight w:val="630" w:hRule="atLeast"/>
        </w:trPr>
        <w:tc>
          <w:tcPr>
            <w:tcW w:w="295"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当年预算执行情况（</w:t>
            </w:r>
            <w:r>
              <w:rPr>
                <w:rFonts w:ascii="宋体" w:hAnsi="宋体" w:cs="宋体"/>
                <w:kern w:val="0"/>
                <w:sz w:val="20"/>
                <w:szCs w:val="20"/>
              </w:rPr>
              <w:t>20）</w:t>
            </w:r>
          </w:p>
        </w:tc>
        <w:tc>
          <w:tcPr>
            <w:tcW w:w="30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资金总体</w:t>
            </w: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23,401.29</w:t>
            </w: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21,594.82</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92.28%</w:t>
            </w:r>
          </w:p>
        </w:tc>
        <w:tc>
          <w:tcPr>
            <w:tcW w:w="21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20</w:t>
            </w:r>
          </w:p>
        </w:tc>
        <w:tc>
          <w:tcPr>
            <w:tcW w:w="32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18.46</w:t>
            </w:r>
          </w:p>
        </w:tc>
        <w:tc>
          <w:tcPr>
            <w:tcW w:w="1386"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部门全年执行数与全年预算数的比率。资金总体</w:t>
            </w:r>
            <w:r>
              <w:rPr>
                <w:rFonts w:ascii="宋体" w:hAnsi="宋体" w:cs="宋体"/>
                <w:kern w:val="0"/>
                <w:sz w:val="18"/>
                <w:szCs w:val="18"/>
              </w:rPr>
              <w:t>=基本支出+项目支出+其他</w:t>
            </w:r>
          </w:p>
        </w:tc>
        <w:tc>
          <w:tcPr>
            <w:tcW w:w="139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①得分一档最高不能超过该指标分值上限（</w:t>
            </w:r>
            <w:r>
              <w:rPr>
                <w:rFonts w:ascii="宋体" w:hAnsi="宋体" w:cs="宋体"/>
                <w:kern w:val="0"/>
                <w:sz w:val="18"/>
                <w:szCs w:val="18"/>
              </w:rPr>
              <w:t>20分）。</w:t>
            </w:r>
            <w:r>
              <w:rPr>
                <w:rFonts w:ascii="宋体" w:hAnsi="宋体" w:cs="宋体"/>
                <w:kern w:val="0"/>
                <w:sz w:val="18"/>
                <w:szCs w:val="18"/>
              </w:rPr>
              <w:br w:type="textWrapping"/>
            </w:r>
            <w:r>
              <w:rPr>
                <w:rFonts w:hint="eastAsia" w:ascii="宋体" w:hAnsi="宋体" w:cs="宋体"/>
                <w:kern w:val="0"/>
                <w:sz w:val="18"/>
                <w:szCs w:val="18"/>
              </w:rPr>
              <w:t>②该指标若为正向指标，则得分计算方法应用全年实际值（</w:t>
            </w:r>
            <w:r>
              <w:rPr>
                <w:rFonts w:ascii="宋体" w:hAnsi="宋体" w:cs="宋体"/>
                <w:kern w:val="0"/>
                <w:sz w:val="18"/>
                <w:szCs w:val="18"/>
              </w:rPr>
              <w:t>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kern w:val="0"/>
                <w:sz w:val="20"/>
                <w:szCs w:val="20"/>
              </w:rPr>
            </w:pPr>
            <w:r>
              <w:rPr>
                <w:rFonts w:hint="eastAsia" w:ascii="宋体" w:hAnsi="宋体" w:cs="宋体"/>
                <w:kern w:val="0"/>
                <w:sz w:val="20"/>
                <w:szCs w:val="20"/>
              </w:rPr>
              <w:t>基本支出</w:t>
            </w: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19,842.25</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19,795.79</w:t>
            </w:r>
          </w:p>
        </w:tc>
        <w:tc>
          <w:tcPr>
            <w:tcW w:w="28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2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23" w:type="pct"/>
            <w:vMerge w:val="continue"/>
            <w:tcBorders>
              <w:top w:val="single" w:color="auto" w:sz="4" w:space="0"/>
              <w:left w:val="nil"/>
              <w:bottom w:val="single" w:color="auto" w:sz="4" w:space="0"/>
              <w:right w:val="nil"/>
            </w:tcBorders>
            <w:vAlign w:val="center"/>
          </w:tcPr>
          <w:p>
            <w:pPr>
              <w:widowControl/>
              <w:jc w:val="left"/>
              <w:rPr>
                <w:rFonts w:ascii="宋体" w:hAnsi="宋体" w:cs="宋体"/>
                <w:kern w:val="0"/>
                <w:sz w:val="20"/>
                <w:szCs w:val="20"/>
              </w:rPr>
            </w:pP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615"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项目支出</w:t>
            </w: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3,559.03</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1,799.03</w:t>
            </w: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23" w:type="pct"/>
            <w:vMerge w:val="continue"/>
            <w:tcBorders>
              <w:top w:val="single" w:color="auto" w:sz="4" w:space="0"/>
              <w:left w:val="nil"/>
              <w:bottom w:val="single" w:color="auto" w:sz="4" w:space="0"/>
              <w:right w:val="nil"/>
            </w:tcBorders>
            <w:vAlign w:val="center"/>
          </w:tcPr>
          <w:p>
            <w:pPr>
              <w:widowControl/>
              <w:jc w:val="left"/>
              <w:rPr>
                <w:rFonts w:ascii="宋体" w:hAnsi="宋体" w:cs="宋体"/>
                <w:kern w:val="0"/>
                <w:sz w:val="20"/>
                <w:szCs w:val="20"/>
              </w:rPr>
            </w:pP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2136"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其他</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　</w:t>
            </w:r>
          </w:p>
        </w:tc>
        <w:tc>
          <w:tcPr>
            <w:tcW w:w="28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1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23" w:type="pct"/>
            <w:vMerge w:val="continue"/>
            <w:tcBorders>
              <w:top w:val="single" w:color="auto" w:sz="4" w:space="0"/>
              <w:left w:val="nil"/>
              <w:bottom w:val="single" w:color="auto" w:sz="4" w:space="0"/>
              <w:right w:val="nil"/>
            </w:tcBorders>
            <w:vAlign w:val="center"/>
          </w:tcPr>
          <w:p>
            <w:pPr>
              <w:widowControl/>
              <w:jc w:val="left"/>
              <w:rPr>
                <w:rFonts w:ascii="宋体" w:hAnsi="宋体" w:cs="宋体"/>
                <w:kern w:val="0"/>
                <w:sz w:val="20"/>
                <w:szCs w:val="20"/>
              </w:rPr>
            </w:pP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二</w:t>
            </w:r>
            <w:r>
              <w:rPr>
                <w:rFonts w:ascii="宋体" w:hAnsi="宋体" w:cs="宋体"/>
                <w:kern w:val="0"/>
                <w:sz w:val="18"/>
                <w:szCs w:val="18"/>
              </w:rPr>
              <w:t>、</w:t>
            </w:r>
            <w:r>
              <w:rPr>
                <w:rFonts w:hint="eastAsia" w:ascii="宋体" w:hAnsi="宋体" w:cs="宋体"/>
                <w:kern w:val="0"/>
                <w:sz w:val="20"/>
                <w:szCs w:val="20"/>
              </w:rPr>
              <w:t>整体绩效目标实现情况（</w:t>
            </w:r>
            <w:r>
              <w:rPr>
                <w:rFonts w:ascii="宋体" w:hAnsi="宋体" w:cs="宋体"/>
                <w:kern w:val="0"/>
                <w:sz w:val="20"/>
                <w:szCs w:val="20"/>
              </w:rPr>
              <w:t>60分）</w:t>
            </w:r>
          </w:p>
        </w:tc>
      </w:tr>
      <w:tr>
        <w:trPr>
          <w:trHeight w:val="499" w:hRule="atLeast"/>
        </w:trPr>
        <w:tc>
          <w:tcPr>
            <w:tcW w:w="2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w:t>
            </w:r>
            <w:r>
              <w:rPr>
                <w:rFonts w:ascii="宋体" w:hAnsi="宋体" w:cs="宋体"/>
                <w:kern w:val="0"/>
                <w:sz w:val="20"/>
                <w:szCs w:val="20"/>
              </w:rPr>
              <w:t>级指标</w:t>
            </w:r>
          </w:p>
        </w:tc>
        <w:tc>
          <w:tcPr>
            <w:tcW w:w="309"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w:t>
            </w:r>
            <w:r>
              <w:rPr>
                <w:rFonts w:ascii="宋体" w:hAnsi="宋体" w:cs="宋体"/>
                <w:kern w:val="0"/>
                <w:sz w:val="20"/>
                <w:szCs w:val="20"/>
              </w:rPr>
              <w:t>级指标</w:t>
            </w:r>
            <w:r>
              <w:rPr>
                <w:rFonts w:hint="eastAsia" w:ascii="宋体" w:hAnsi="宋体" w:cs="宋体"/>
                <w:kern w:val="0"/>
                <w:sz w:val="20"/>
                <w:szCs w:val="20"/>
              </w:rPr>
              <w:t>　</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w:t>
            </w:r>
            <w:r>
              <w:rPr>
                <w:rFonts w:ascii="宋体" w:hAnsi="宋体" w:cs="宋体"/>
                <w:kern w:val="0"/>
                <w:sz w:val="20"/>
                <w:szCs w:val="20"/>
              </w:rPr>
              <w:t>级指标</w:t>
            </w:r>
            <w:r>
              <w:rPr>
                <w:rFonts w:hint="eastAsia" w:ascii="宋体" w:hAnsi="宋体" w:cs="宋体"/>
                <w:kern w:val="0"/>
                <w:sz w:val="20"/>
                <w:szCs w:val="20"/>
              </w:rPr>
              <w:t>　</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指标值</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完成值</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323"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指标</w:t>
            </w:r>
            <w:r>
              <w:rPr>
                <w:rFonts w:ascii="宋体" w:hAnsi="宋体" w:cs="宋体"/>
                <w:bCs/>
                <w:kern w:val="0"/>
                <w:sz w:val="18"/>
                <w:szCs w:val="18"/>
              </w:rPr>
              <w:t>解释</w:t>
            </w:r>
          </w:p>
        </w:tc>
        <w:tc>
          <w:tcPr>
            <w:tcW w:w="1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评</w:t>
            </w:r>
            <w:r>
              <w:rPr>
                <w:rFonts w:ascii="宋体" w:hAnsi="宋体" w:cs="宋体"/>
                <w:kern w:val="0"/>
                <w:sz w:val="18"/>
                <w:szCs w:val="18"/>
              </w:rPr>
              <w:t>分标准</w:t>
            </w:r>
          </w:p>
        </w:tc>
      </w:tr>
      <w:tr>
        <w:tblPrEx>
          <w:tblCellMar>
            <w:top w:w="0" w:type="dxa"/>
            <w:left w:w="108" w:type="dxa"/>
            <w:bottom w:w="0" w:type="dxa"/>
            <w:right w:w="108" w:type="dxa"/>
          </w:tblCellMar>
        </w:tblPrEx>
        <w:trPr>
          <w:trHeight w:val="1196" w:hRule="atLeast"/>
        </w:trPr>
        <w:tc>
          <w:tcPr>
            <w:tcW w:w="295"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整体绩效目标实现情况（</w:t>
            </w:r>
            <w:r>
              <w:rPr>
                <w:rFonts w:ascii="宋体" w:hAnsi="宋体" w:cs="宋体"/>
                <w:kern w:val="0"/>
                <w:sz w:val="20"/>
                <w:szCs w:val="20"/>
              </w:rPr>
              <w:t>60）</w:t>
            </w:r>
          </w:p>
        </w:tc>
        <w:tc>
          <w:tcPr>
            <w:tcW w:w="309" w:type="pct"/>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p>
          <w:p>
            <w:pPr>
              <w:jc w:val="center"/>
              <w:rPr>
                <w:rFonts w:ascii="宋体" w:hAnsi="宋体" w:cs="宋体"/>
                <w:kern w:val="0"/>
                <w:sz w:val="20"/>
                <w:szCs w:val="20"/>
              </w:rPr>
            </w:pPr>
            <w:r>
              <w:rPr>
                <w:rFonts w:hint="eastAsia" w:ascii="宋体" w:hAnsi="宋体" w:cs="宋体"/>
                <w:kern w:val="0"/>
                <w:sz w:val="20"/>
                <w:szCs w:val="20"/>
              </w:rPr>
              <w:t>产出（</w:t>
            </w:r>
            <w:r>
              <w:rPr>
                <w:rFonts w:ascii="宋体" w:hAnsi="宋体" w:cs="宋体"/>
                <w:kern w:val="0"/>
                <w:sz w:val="20"/>
                <w:szCs w:val="20"/>
              </w:rPr>
              <w:t>30）</w:t>
            </w:r>
          </w:p>
        </w:tc>
        <w:tc>
          <w:tcPr>
            <w:tcW w:w="394" w:type="pct"/>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产出数量</w:t>
            </w:r>
          </w:p>
        </w:tc>
        <w:tc>
          <w:tcPr>
            <w:tcW w:w="394"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落实上级决策部署　</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p>
          <w:p>
            <w:pPr>
              <w:jc w:val="center"/>
              <w:rPr>
                <w:rFonts w:ascii="宋体" w:hAnsi="宋体" w:cs="宋体"/>
                <w:kern w:val="0"/>
                <w:sz w:val="20"/>
                <w:szCs w:val="20"/>
              </w:rPr>
            </w:pPr>
            <w:r>
              <w:rPr>
                <w:rFonts w:hint="eastAsia" w:ascii="宋体" w:hAnsi="宋体" w:cs="宋体"/>
                <w:kern w:val="0"/>
                <w:sz w:val="20"/>
                <w:szCs w:val="20"/>
              </w:rPr>
              <w:t>落实上级决策部署</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323"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1386"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kern w:val="0"/>
                <w:sz w:val="18"/>
                <w:szCs w:val="18"/>
              </w:rPr>
            </w:pPr>
            <w:r>
              <w:rPr>
                <w:rFonts w:hint="eastAsia" w:ascii="宋体" w:hAnsi="宋体" w:cs="宋体"/>
                <w:b/>
                <w:bCs/>
                <w:kern w:val="0"/>
                <w:sz w:val="18"/>
                <w:szCs w:val="18"/>
              </w:rPr>
              <w:t>产出数量</w:t>
            </w:r>
            <w:r>
              <w:rPr>
                <w:rFonts w:hint="eastAsia" w:ascii="宋体" w:hAnsi="宋体" w:cs="宋体"/>
                <w:kern w:val="0"/>
                <w:sz w:val="18"/>
                <w:szCs w:val="18"/>
              </w:rPr>
              <w:t>：计划完成率</w:t>
            </w:r>
            <w:r>
              <w:rPr>
                <w:rFonts w:ascii="宋体" w:hAnsi="宋体" w:cs="宋体"/>
                <w:kern w:val="0"/>
                <w:sz w:val="18"/>
                <w:szCs w:val="18"/>
              </w:rPr>
              <w:t>=（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kern w:val="0"/>
                <w:sz w:val="18"/>
                <w:szCs w:val="18"/>
              </w:rPr>
              <w:t>产出质量</w:t>
            </w:r>
            <w:r>
              <w:rPr>
                <w:rFonts w:hint="eastAsia" w:ascii="宋体" w:hAnsi="宋体" w:cs="宋体"/>
                <w:kern w:val="0"/>
                <w:sz w:val="18"/>
                <w:szCs w:val="18"/>
              </w:rPr>
              <w:t>：质量达标率</w:t>
            </w:r>
            <w:r>
              <w:rPr>
                <w:rFonts w:ascii="宋体" w:hAnsi="宋体" w:cs="宋体"/>
                <w:kern w:val="0"/>
                <w:sz w:val="18"/>
                <w:szCs w:val="18"/>
              </w:rPr>
              <w:t>=质量达标工作数/实际完成工作数×100%。质量达标工作数：一定时期（年度或规划期）内部门（单位）实际完成工作数中达到部门绩效目标要求（绩效标准值）的工作任务数量。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kern w:val="0"/>
                <w:sz w:val="18"/>
                <w:szCs w:val="18"/>
              </w:rPr>
              <w:t>产出进度：</w:t>
            </w:r>
            <w:r>
              <w:rPr>
                <w:rFonts w:hint="eastAsia" w:ascii="宋体" w:hAnsi="宋体" w:cs="宋体"/>
                <w:kern w:val="0"/>
                <w:sz w:val="18"/>
                <w:szCs w:val="18"/>
              </w:rPr>
              <w:t>按时完成率</w:t>
            </w:r>
            <w:r>
              <w:rPr>
                <w:rFonts w:ascii="宋体" w:hAnsi="宋体" w:cs="宋体"/>
                <w:kern w:val="0"/>
                <w:sz w:val="18"/>
                <w:szCs w:val="18"/>
              </w:rPr>
              <w:t>=（按时完成工作数/实际完成工作数）×100%。按时完成工作数：部门（单位）按照整体绩效目标确定的时限实际完成的工作任务数量。</w:t>
            </w:r>
            <w:r>
              <w:rPr>
                <w:rFonts w:hint="eastAsia" w:ascii="宋体" w:hAnsi="宋体" w:cs="宋体"/>
                <w:b/>
                <w:bCs/>
                <w:kern w:val="0"/>
                <w:sz w:val="18"/>
                <w:szCs w:val="18"/>
              </w:rPr>
              <w:t>产出成本</w:t>
            </w:r>
            <w:r>
              <w:rPr>
                <w:rFonts w:hint="eastAsia" w:ascii="宋体" w:hAnsi="宋体" w:cs="宋体"/>
                <w:kern w:val="0"/>
                <w:sz w:val="18"/>
                <w:szCs w:val="18"/>
              </w:rPr>
              <w:t>：单位产出相对于上一年度的节约额；②单位产出相对于市场同类产出的节约额；③部门公用经费的控制情况。</w:t>
            </w: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r>
              <w:rPr>
                <w:rFonts w:hint="eastAsia" w:ascii="宋体" w:hAnsi="宋体" w:cs="宋体"/>
                <w:b/>
                <w:bCs/>
                <w:kern w:val="0"/>
                <w:sz w:val="18"/>
                <w:szCs w:val="18"/>
              </w:rPr>
              <w:t>产出数量</w:t>
            </w:r>
            <w:r>
              <w:rPr>
                <w:rFonts w:hint="eastAsia" w:ascii="宋体" w:hAnsi="宋体" w:cs="宋体"/>
                <w:kern w:val="0"/>
                <w:sz w:val="18"/>
                <w:szCs w:val="18"/>
              </w:rPr>
              <w:t>：计划完成率</w:t>
            </w:r>
            <w:r>
              <w:rPr>
                <w:rFonts w:ascii="宋体" w:hAnsi="宋体" w:cs="宋体"/>
                <w:kern w:val="0"/>
                <w:sz w:val="18"/>
                <w:szCs w:val="18"/>
              </w:rPr>
              <w:t>=（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kern w:val="0"/>
                <w:sz w:val="18"/>
                <w:szCs w:val="18"/>
              </w:rPr>
              <w:t>产出质量</w:t>
            </w:r>
            <w:r>
              <w:rPr>
                <w:rFonts w:hint="eastAsia" w:ascii="宋体" w:hAnsi="宋体" w:cs="宋体"/>
                <w:kern w:val="0"/>
                <w:sz w:val="18"/>
                <w:szCs w:val="18"/>
              </w:rPr>
              <w:t>：质量达标率</w:t>
            </w:r>
            <w:r>
              <w:rPr>
                <w:rFonts w:ascii="宋体" w:hAnsi="宋体" w:cs="宋体"/>
                <w:kern w:val="0"/>
                <w:sz w:val="18"/>
                <w:szCs w:val="18"/>
              </w:rPr>
              <w:t>=质量达标工作数/实际完成工作数×100%。质量达标工作数：一定时期（年度或规划期）内部门（单位）实际完成工作数中达到部门绩效目标要求（绩效标准值）的工作任务数量。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kern w:val="0"/>
                <w:sz w:val="18"/>
                <w:szCs w:val="18"/>
              </w:rPr>
              <w:t>产出进度：</w:t>
            </w:r>
            <w:r>
              <w:rPr>
                <w:rFonts w:hint="eastAsia" w:ascii="宋体" w:hAnsi="宋体" w:cs="宋体"/>
                <w:kern w:val="0"/>
                <w:sz w:val="18"/>
                <w:szCs w:val="18"/>
              </w:rPr>
              <w:t>按时完成率</w:t>
            </w:r>
            <w:r>
              <w:rPr>
                <w:rFonts w:ascii="宋体" w:hAnsi="宋体" w:cs="宋体"/>
                <w:kern w:val="0"/>
                <w:sz w:val="18"/>
                <w:szCs w:val="18"/>
              </w:rPr>
              <w:t>=（按时完成工作数/实际完成工作数）×100%。按时完成工作数：部门（单位）按照整体绩效目标确定的时限实际完成的工作任务数量。</w:t>
            </w:r>
            <w:r>
              <w:rPr>
                <w:rFonts w:hint="eastAsia" w:ascii="宋体" w:hAnsi="宋体" w:cs="宋体"/>
                <w:b/>
                <w:bCs/>
                <w:kern w:val="0"/>
                <w:sz w:val="18"/>
                <w:szCs w:val="18"/>
              </w:rPr>
              <w:t>产出成本</w:t>
            </w:r>
            <w:r>
              <w:rPr>
                <w:rFonts w:hint="eastAsia" w:ascii="宋体" w:hAnsi="宋体" w:cs="宋体"/>
                <w:kern w:val="0"/>
                <w:sz w:val="18"/>
                <w:szCs w:val="18"/>
              </w:rPr>
              <w:t>：单位产出相对于上一年度的节约额；②单位产出相对于市场同类产出的节约额；③部门公用经费的控制情况。</w:t>
            </w:r>
          </w:p>
        </w:tc>
        <w:tc>
          <w:tcPr>
            <w:tcW w:w="139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r>
              <w:rPr>
                <w:rFonts w:hint="eastAsia" w:ascii="宋体" w:hAnsi="宋体" w:cs="宋体"/>
                <w:kern w:val="0"/>
                <w:sz w:val="18"/>
                <w:szCs w:val="18"/>
              </w:rPr>
              <w:t>部门根据本单位情况自行确定并选择产出指标，合理确定各项指标权重。可量化的指标按照比率</w:t>
            </w:r>
            <w:r>
              <w:rPr>
                <w:rFonts w:ascii="宋体" w:hAnsi="宋体" w:cs="宋体"/>
                <w:kern w:val="0"/>
                <w:sz w:val="18"/>
                <w:szCs w:val="18"/>
              </w:rPr>
              <w:t>*单项指标分值即为该指标得分。如果不能定量评价，则以定性的方式进行自评。</w:t>
            </w: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r>
              <w:rPr>
                <w:rFonts w:hint="eastAsia" w:ascii="宋体" w:hAnsi="宋体" w:cs="宋体"/>
                <w:kern w:val="0"/>
                <w:sz w:val="18"/>
                <w:szCs w:val="18"/>
              </w:rPr>
              <w:t>部门根据本单位情况自行确定并选择产出指标，合理确定各项指标权重。可量化的指标按照比率</w:t>
            </w:r>
            <w:r>
              <w:rPr>
                <w:rFonts w:ascii="宋体" w:hAnsi="宋体" w:cs="宋体"/>
                <w:kern w:val="0"/>
                <w:sz w:val="18"/>
                <w:szCs w:val="18"/>
              </w:rPr>
              <w:t>*单项指标分值即为该指标得分。如果不能定量评价，则以定性的方式进行自评。</w:t>
            </w:r>
          </w:p>
          <w:p>
            <w:pPr>
              <w:widowControl/>
              <w:jc w:val="left"/>
              <w:rPr>
                <w:rFonts w:ascii="宋体" w:hAnsi="宋体" w:cs="宋体"/>
                <w:kern w:val="0"/>
                <w:sz w:val="18"/>
                <w:szCs w:val="18"/>
              </w:rPr>
            </w:pPr>
          </w:p>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196"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09" w:type="pct"/>
            <w:vMerge w:val="continue"/>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394" w:type="pct"/>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科研成果硕果累累</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科研成果硕果累累</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323"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196"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09" w:type="pct"/>
            <w:vMerge w:val="continue"/>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394" w:type="pct"/>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ascii="宋体" w:hAnsi="宋体" w:cs="宋体"/>
                <w:kern w:val="0"/>
                <w:sz w:val="20"/>
                <w:szCs w:val="20"/>
              </w:rPr>
              <w:t>推动公共服务体系建设</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推动公共服务体系建设</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323"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196"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09" w:type="pct"/>
            <w:vMerge w:val="continue"/>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394" w:type="pct"/>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ascii="宋体" w:hAnsi="宋体" w:cs="宋体"/>
                <w:kern w:val="0"/>
                <w:sz w:val="20"/>
                <w:szCs w:val="20"/>
              </w:rPr>
              <w:t>扎实推进13个项目开展</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扎实推进10个项目开展</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323"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1.5</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196"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09" w:type="pct"/>
            <w:vMerge w:val="continue"/>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394" w:type="pct"/>
            <w:vMerge w:val="restart"/>
            <w:tcBorders>
              <w:top w:val="single" w:color="auto" w:sz="4" w:space="0"/>
              <w:left w:val="nil"/>
              <w:right w:val="single" w:color="auto" w:sz="4" w:space="0"/>
            </w:tcBorders>
            <w:vAlign w:val="center"/>
          </w:tcPr>
          <w:p>
            <w:pPr>
              <w:jc w:val="center"/>
              <w:rPr>
                <w:rFonts w:ascii="宋体" w:hAnsi="宋体" w:cs="宋体"/>
                <w:kern w:val="0"/>
                <w:sz w:val="20"/>
                <w:szCs w:val="20"/>
              </w:rPr>
            </w:pPr>
          </w:p>
          <w:p>
            <w:pPr>
              <w:jc w:val="center"/>
              <w:rPr>
                <w:rFonts w:ascii="宋体" w:hAnsi="宋体" w:cs="宋体"/>
                <w:kern w:val="0"/>
                <w:sz w:val="20"/>
                <w:szCs w:val="20"/>
              </w:rPr>
            </w:pPr>
            <w:r>
              <w:rPr>
                <w:rFonts w:hint="eastAsia" w:ascii="宋体" w:hAnsi="宋体" w:cs="宋体"/>
                <w:kern w:val="0"/>
                <w:sz w:val="20"/>
                <w:szCs w:val="20"/>
              </w:rPr>
              <w:t>产出质量</w:t>
            </w:r>
          </w:p>
        </w:tc>
        <w:tc>
          <w:tcPr>
            <w:tcW w:w="394"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ascii="宋体" w:hAnsi="宋体" w:cs="宋体"/>
                <w:kern w:val="0"/>
                <w:sz w:val="20"/>
                <w:szCs w:val="20"/>
              </w:rPr>
              <w:t>办学质量进一步提升</w:t>
            </w:r>
          </w:p>
        </w:tc>
        <w:tc>
          <w:tcPr>
            <w:tcW w:w="288" w:type="pct"/>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ascii="宋体" w:hAnsi="宋体" w:cs="宋体"/>
                <w:kern w:val="0"/>
                <w:sz w:val="20"/>
                <w:szCs w:val="20"/>
              </w:rPr>
              <w:t>办学质量进一步提升</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323"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1.8</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130"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94" w:type="pct"/>
            <w:vMerge w:val="continue"/>
            <w:tcBorders>
              <w:left w:val="nil"/>
              <w:right w:val="single" w:color="auto" w:sz="4" w:space="0"/>
            </w:tcBorders>
            <w:vAlign w:val="center"/>
          </w:tcPr>
          <w:p>
            <w:pPr>
              <w:widowControl/>
              <w:jc w:val="center"/>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服务政法服务社会进一步拓展深度广度</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服务政法服务社会进一步拓展深度广度</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1.9</w:t>
            </w:r>
            <w:r>
              <w:rPr>
                <w:rFonts w:hint="eastAsia" w:ascii="宋体" w:hAnsi="宋体" w:cs="宋体"/>
                <w:kern w:val="0"/>
                <w:sz w:val="20"/>
                <w:szCs w:val="20"/>
              </w:rPr>
              <w:t>　</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130"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94" w:type="pct"/>
            <w:vMerge w:val="continue"/>
            <w:tcBorders>
              <w:left w:val="nil"/>
              <w:right w:val="single" w:color="auto" w:sz="4" w:space="0"/>
            </w:tcBorders>
            <w:vAlign w:val="center"/>
          </w:tcPr>
          <w:p>
            <w:pPr>
              <w:widowControl/>
              <w:jc w:val="center"/>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科研水平进一步提升</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科研水平进一步提升</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130"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94" w:type="pct"/>
            <w:vMerge w:val="continue"/>
            <w:tcBorders>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教学质量进一步提升</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教学质量进一步提升</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1.8</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419"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产出进度</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完成全年工作任务　</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完成全年工作，个别项目未完成　</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7</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5</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975"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产出成本</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严格控制支出成本，充分发挥财政资金效能　</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全年支出在预算额度内，充分发挥资金效能　</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7</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7　</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258"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效果（</w:t>
            </w:r>
            <w:r>
              <w:rPr>
                <w:rFonts w:ascii="宋体" w:hAnsi="宋体" w:cs="宋体"/>
                <w:kern w:val="0"/>
                <w:sz w:val="20"/>
                <w:szCs w:val="20"/>
              </w:rPr>
              <w:t>30）</w:t>
            </w:r>
          </w:p>
        </w:tc>
        <w:tc>
          <w:tcPr>
            <w:tcW w:w="394" w:type="pct"/>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社会效益</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教育教学改革力度成效显著</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教育教学改革力度成效显著</w:t>
            </w:r>
          </w:p>
        </w:tc>
        <w:tc>
          <w:tcPr>
            <w:tcW w:w="21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7.5</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6.8</w:t>
            </w:r>
          </w:p>
        </w:tc>
        <w:tc>
          <w:tcPr>
            <w:tcW w:w="1386"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b/>
                <w:bCs/>
                <w:kern w:val="0"/>
                <w:sz w:val="18"/>
                <w:szCs w:val="18"/>
              </w:rPr>
            </w:pPr>
          </w:p>
          <w:p>
            <w:pPr>
              <w:widowControl/>
              <w:jc w:val="left"/>
              <w:rPr>
                <w:rFonts w:ascii="宋体" w:hAnsi="宋体" w:cs="宋体"/>
                <w:kern w:val="0"/>
                <w:sz w:val="18"/>
                <w:szCs w:val="18"/>
              </w:rPr>
            </w:pPr>
            <w:r>
              <w:rPr>
                <w:rFonts w:hint="eastAsia" w:ascii="宋体" w:hAnsi="宋体" w:cs="宋体"/>
                <w:b/>
                <w:bCs/>
                <w:kern w:val="0"/>
                <w:sz w:val="18"/>
                <w:szCs w:val="18"/>
              </w:rPr>
              <w:t>经济效益</w:t>
            </w:r>
            <w:r>
              <w:rPr>
                <w:rFonts w:hint="eastAsia" w:ascii="宋体" w:hAnsi="宋体" w:cs="宋体"/>
                <w:kern w:val="0"/>
                <w:sz w:val="18"/>
                <w:szCs w:val="18"/>
              </w:rPr>
              <w:t>：部门（单位）履行职责对经济发展所带来的直接或间接影响。</w:t>
            </w:r>
            <w:r>
              <w:rPr>
                <w:rFonts w:hint="eastAsia" w:ascii="宋体" w:hAnsi="宋体" w:cs="宋体"/>
                <w:b/>
                <w:bCs/>
                <w:kern w:val="0"/>
                <w:sz w:val="18"/>
                <w:szCs w:val="18"/>
              </w:rPr>
              <w:t>社会效益</w:t>
            </w:r>
            <w:r>
              <w:rPr>
                <w:rFonts w:hint="eastAsia" w:ascii="宋体" w:hAnsi="宋体" w:cs="宋体"/>
                <w:kern w:val="0"/>
                <w:sz w:val="18"/>
                <w:szCs w:val="18"/>
              </w:rPr>
              <w:t>：部门（单位）履行职责对社会发展所带来的直接或间接影响。</w:t>
            </w:r>
            <w:r>
              <w:rPr>
                <w:rFonts w:hint="eastAsia" w:ascii="宋体" w:hAnsi="宋体" w:cs="宋体"/>
                <w:b/>
                <w:bCs/>
                <w:kern w:val="0"/>
                <w:sz w:val="18"/>
                <w:szCs w:val="18"/>
              </w:rPr>
              <w:t>环境效益</w:t>
            </w:r>
            <w:r>
              <w:rPr>
                <w:rFonts w:hint="eastAsia" w:ascii="宋体" w:hAnsi="宋体" w:cs="宋体"/>
                <w:kern w:val="0"/>
                <w:sz w:val="18"/>
                <w:szCs w:val="18"/>
              </w:rPr>
              <w:t>：部门（单位）履行职责对环境所带来的直接或间接影响。</w:t>
            </w:r>
            <w:r>
              <w:rPr>
                <w:rFonts w:hint="eastAsia" w:ascii="宋体" w:hAnsi="宋体" w:cs="宋体"/>
                <w:b/>
                <w:bCs/>
                <w:kern w:val="0"/>
                <w:sz w:val="18"/>
                <w:szCs w:val="18"/>
              </w:rPr>
              <w:t>可持续性影响：</w:t>
            </w:r>
            <w:r>
              <w:rPr>
                <w:rFonts w:hint="eastAsia" w:ascii="宋体" w:hAnsi="宋体" w:cs="宋体"/>
                <w:kern w:val="0"/>
                <w:sz w:val="18"/>
                <w:szCs w:val="18"/>
              </w:rPr>
              <w:t>部门绩效目标实现的长效机制建设情况，部门工作效率提升措施的创新。</w:t>
            </w:r>
            <w:r>
              <w:rPr>
                <w:rFonts w:hint="eastAsia" w:ascii="宋体" w:hAnsi="宋体" w:cs="宋体"/>
                <w:b/>
                <w:bCs/>
                <w:kern w:val="0"/>
                <w:sz w:val="18"/>
                <w:szCs w:val="18"/>
              </w:rPr>
              <w:t>服务对象满意度</w:t>
            </w:r>
            <w:r>
              <w:rPr>
                <w:rFonts w:hint="eastAsia" w:ascii="宋体" w:hAnsi="宋体" w:cs="宋体"/>
                <w:kern w:val="0"/>
                <w:sz w:val="18"/>
                <w:szCs w:val="18"/>
              </w:rPr>
              <w:t>：部门（单位）的服务对象对部门履职效果的满意程度。</w:t>
            </w:r>
          </w:p>
        </w:tc>
        <w:tc>
          <w:tcPr>
            <w:tcW w:w="139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p>
          <w:p>
            <w:pPr>
              <w:widowControl/>
              <w:jc w:val="left"/>
              <w:rPr>
                <w:rFonts w:ascii="宋体" w:hAnsi="宋体" w:cs="宋体"/>
                <w:kern w:val="0"/>
                <w:sz w:val="18"/>
                <w:szCs w:val="18"/>
              </w:rPr>
            </w:pPr>
            <w:r>
              <w:rPr>
                <w:rFonts w:hint="eastAsia" w:ascii="宋体" w:hAnsi="宋体" w:cs="宋体"/>
                <w:kern w:val="0"/>
                <w:sz w:val="18"/>
                <w:szCs w:val="18"/>
              </w:rPr>
              <w:t>部门根据实际情况选择指标进行填写，并将其细化为相应的个性化指标。对于效益类指标可从受益对象瞄准度、受益广度和受益深度上进行设计分析。</w:t>
            </w:r>
          </w:p>
          <w:p>
            <w:pPr>
              <w:widowControl/>
              <w:jc w:val="left"/>
              <w:rPr>
                <w:rFonts w:ascii="宋体" w:hAnsi="宋体" w:cs="宋体"/>
                <w:kern w:val="0"/>
                <w:sz w:val="18"/>
                <w:szCs w:val="18"/>
              </w:rPr>
            </w:pPr>
          </w:p>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675"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94" w:type="pct"/>
            <w:vMerge w:val="continue"/>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学生教育管理得到强化</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学生教育管理强化</w:t>
            </w:r>
          </w:p>
        </w:tc>
        <w:tc>
          <w:tcPr>
            <w:tcW w:w="21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7.5</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6.7</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630"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94" w:type="pct"/>
            <w:vMerge w:val="restart"/>
            <w:tcBorders>
              <w:top w:val="single" w:color="auto" w:sz="4" w:space="0"/>
              <w:left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可持续影响指标</w:t>
            </w: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治理能力进一步提升</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治理能力进一步提升</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7.5</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6.7</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1363"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94" w:type="pct"/>
            <w:vMerge w:val="continue"/>
            <w:tcBorders>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办学保证能力进一步加强</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办学保证能力进一步加强</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7.5</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6.8</w:t>
            </w:r>
          </w:p>
        </w:tc>
        <w:tc>
          <w:tcPr>
            <w:tcW w:w="138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3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三</w:t>
            </w:r>
            <w:r>
              <w:rPr>
                <w:rFonts w:ascii="宋体" w:hAnsi="宋体" w:cs="宋体"/>
                <w:kern w:val="0"/>
                <w:sz w:val="18"/>
                <w:szCs w:val="18"/>
              </w:rPr>
              <w:t>、</w:t>
            </w:r>
            <w:r>
              <w:rPr>
                <w:rFonts w:hint="eastAsia" w:ascii="宋体" w:hAnsi="宋体" w:cs="宋体"/>
                <w:kern w:val="0"/>
                <w:sz w:val="20"/>
                <w:szCs w:val="20"/>
              </w:rPr>
              <w:t>预算管理情况（</w:t>
            </w:r>
            <w:r>
              <w:rPr>
                <w:rFonts w:ascii="宋体" w:hAnsi="宋体" w:cs="宋体"/>
                <w:kern w:val="0"/>
                <w:sz w:val="20"/>
                <w:szCs w:val="20"/>
              </w:rPr>
              <w:t>20分）</w:t>
            </w:r>
          </w:p>
        </w:tc>
      </w:tr>
      <w:tr>
        <w:trPr>
          <w:trHeight w:val="702" w:hRule="atLeast"/>
        </w:trPr>
        <w:tc>
          <w:tcPr>
            <w:tcW w:w="29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w:t>
            </w:r>
            <w:r>
              <w:rPr>
                <w:rFonts w:ascii="宋体" w:hAnsi="宋体" w:cs="宋体"/>
                <w:kern w:val="0"/>
                <w:sz w:val="20"/>
                <w:szCs w:val="20"/>
              </w:rPr>
              <w:t>级指标</w:t>
            </w:r>
          </w:p>
        </w:tc>
        <w:tc>
          <w:tcPr>
            <w:tcW w:w="30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w:t>
            </w:r>
            <w:r>
              <w:rPr>
                <w:rFonts w:ascii="宋体" w:hAnsi="宋体" w:cs="宋体"/>
                <w:kern w:val="0"/>
                <w:sz w:val="20"/>
                <w:szCs w:val="20"/>
              </w:rPr>
              <w:t>级指标</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w:t>
            </w:r>
            <w:r>
              <w:rPr>
                <w:rFonts w:ascii="宋体" w:hAnsi="宋体" w:cs="宋体"/>
                <w:kern w:val="0"/>
                <w:sz w:val="20"/>
                <w:szCs w:val="20"/>
              </w:rPr>
              <w:t>级指标</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值</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w:t>
            </w:r>
            <w:r>
              <w:rPr>
                <w:rFonts w:ascii="宋体" w:hAnsi="宋体" w:cs="宋体"/>
                <w:kern w:val="0"/>
                <w:sz w:val="20"/>
                <w:szCs w:val="20"/>
              </w:rPr>
              <w:t>值</w:t>
            </w:r>
          </w:p>
        </w:tc>
        <w:tc>
          <w:tcPr>
            <w:tcW w:w="21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分</w:t>
            </w:r>
            <w:r>
              <w:rPr>
                <w:rFonts w:ascii="宋体" w:hAnsi="宋体" w:cs="宋体"/>
                <w:kern w:val="0"/>
                <w:sz w:val="20"/>
                <w:szCs w:val="20"/>
              </w:rPr>
              <w:t>值</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得</w:t>
            </w:r>
            <w:r>
              <w:rPr>
                <w:rFonts w:ascii="宋体" w:hAnsi="宋体" w:cs="宋体"/>
                <w:kern w:val="0"/>
                <w:sz w:val="20"/>
                <w:szCs w:val="20"/>
              </w:rPr>
              <w:t>分</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Cs/>
                <w:kern w:val="0"/>
                <w:sz w:val="18"/>
                <w:szCs w:val="18"/>
              </w:rPr>
              <w:t>指标</w:t>
            </w:r>
            <w:r>
              <w:rPr>
                <w:rFonts w:ascii="宋体" w:hAnsi="宋体" w:cs="宋体"/>
                <w:bCs/>
                <w:kern w:val="0"/>
                <w:sz w:val="18"/>
                <w:szCs w:val="18"/>
              </w:rPr>
              <w:t>解释</w:t>
            </w:r>
          </w:p>
        </w:tc>
        <w:tc>
          <w:tcPr>
            <w:tcW w:w="1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评</w:t>
            </w:r>
            <w:r>
              <w:rPr>
                <w:rFonts w:ascii="宋体" w:hAnsi="宋体" w:cs="宋体"/>
                <w:kern w:val="0"/>
                <w:sz w:val="18"/>
                <w:szCs w:val="18"/>
              </w:rPr>
              <w:t>分标准</w:t>
            </w:r>
          </w:p>
        </w:tc>
      </w:tr>
      <w:tr>
        <w:tblPrEx>
          <w:tblCellMar>
            <w:top w:w="0" w:type="dxa"/>
            <w:left w:w="108" w:type="dxa"/>
            <w:bottom w:w="0" w:type="dxa"/>
            <w:right w:w="108" w:type="dxa"/>
          </w:tblCellMar>
        </w:tblPrEx>
        <w:trPr>
          <w:trHeight w:val="1714" w:hRule="atLeast"/>
        </w:trPr>
        <w:tc>
          <w:tcPr>
            <w:tcW w:w="295"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预算管理情况（</w:t>
            </w:r>
            <w:r>
              <w:rPr>
                <w:rFonts w:ascii="宋体" w:hAnsi="宋体" w:cs="宋体"/>
                <w:kern w:val="0"/>
                <w:sz w:val="20"/>
                <w:szCs w:val="20"/>
              </w:rPr>
              <w:t>20）</w:t>
            </w:r>
          </w:p>
        </w:tc>
        <w:tc>
          <w:tcPr>
            <w:tcW w:w="309"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w:t>
            </w:r>
            <w:r>
              <w:rPr>
                <w:rFonts w:ascii="宋体" w:hAnsi="宋体" w:cs="宋体"/>
                <w:kern w:val="0"/>
                <w:sz w:val="20"/>
                <w:szCs w:val="20"/>
              </w:rPr>
              <w:t>4）</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财务管理制度健全性</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财务管理制度健全、完整、合规</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财务管理制度健全、完整、合规　</w:t>
            </w:r>
          </w:p>
        </w:tc>
        <w:tc>
          <w:tcPr>
            <w:tcW w:w="21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1</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1　</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b/>
                <w:bCs/>
                <w:kern w:val="0"/>
                <w:sz w:val="18"/>
                <w:szCs w:val="18"/>
              </w:rPr>
              <w:t>财务管理制度健全性</w:t>
            </w:r>
            <w:r>
              <w:rPr>
                <w:rFonts w:hint="eastAsia" w:ascii="宋体" w:hAnsi="宋体" w:cs="宋体"/>
                <w:kern w:val="0"/>
                <w:sz w:val="18"/>
                <w:szCs w:val="18"/>
              </w:rPr>
              <w:t>：部门（单位）为加强财务管理、规范财务行为而制定的管理制度。</w:t>
            </w:r>
          </w:p>
        </w:tc>
        <w:tc>
          <w:tcPr>
            <w:tcW w:w="1394"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kern w:val="0"/>
                <w:sz w:val="18"/>
                <w:szCs w:val="18"/>
              </w:rPr>
              <w:t>0.5分，扣完为止。</w:t>
            </w:r>
          </w:p>
        </w:tc>
      </w:tr>
      <w:tr>
        <w:tblPrEx>
          <w:tblCellMar>
            <w:top w:w="0" w:type="dxa"/>
            <w:left w:w="108" w:type="dxa"/>
            <w:bottom w:w="0" w:type="dxa"/>
            <w:right w:w="108" w:type="dxa"/>
          </w:tblCellMar>
        </w:tblPrEx>
        <w:trPr>
          <w:trHeight w:val="2220"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资金使用合规性和安全性</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按照财务管理制度的规定开支，开支范围符合规定</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按照财务管理制度的规定开支，开支范围符合规定　</w:t>
            </w:r>
          </w:p>
        </w:tc>
        <w:tc>
          <w:tcPr>
            <w:tcW w:w="21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2</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ascii="宋体" w:hAnsi="宋体" w:cs="宋体"/>
                <w:kern w:val="0"/>
                <w:sz w:val="20"/>
                <w:szCs w:val="20"/>
              </w:rPr>
              <w:t>2</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b/>
                <w:bCs/>
                <w:kern w:val="0"/>
                <w:sz w:val="18"/>
                <w:szCs w:val="18"/>
              </w:rPr>
              <w:t>资金使用合规性和安全性</w:t>
            </w:r>
            <w:r>
              <w:rPr>
                <w:rFonts w:hint="eastAsia" w:ascii="宋体" w:hAnsi="宋体" w:cs="宋体"/>
                <w:kern w:val="0"/>
                <w:sz w:val="18"/>
                <w:szCs w:val="18"/>
              </w:rPr>
              <w:t>：部门（单位）使用预算资金是否符合相关的预算财务管理制度的规定，是否符合相关规定的开支范围，用以反映考核部门（单位）预算资金的规范运行和安全运行情况。</w:t>
            </w:r>
          </w:p>
        </w:tc>
        <w:tc>
          <w:tcPr>
            <w:tcW w:w="1394"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kern w:val="0"/>
                <w:sz w:val="18"/>
                <w:szCs w:val="18"/>
              </w:rPr>
              <w:t>0.5分，扣完为止。</w:t>
            </w:r>
          </w:p>
        </w:tc>
      </w:tr>
      <w:tr>
        <w:tblPrEx>
          <w:tblCellMar>
            <w:top w:w="0" w:type="dxa"/>
            <w:left w:w="108" w:type="dxa"/>
            <w:bottom w:w="0" w:type="dxa"/>
            <w:right w:w="108" w:type="dxa"/>
          </w:tblCellMar>
        </w:tblPrEx>
        <w:trPr>
          <w:trHeight w:val="1565"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会计基础信息完善性</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会计基础信息真实、完整、准确　</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会计基础信息真实、完整、准确　</w:t>
            </w:r>
          </w:p>
        </w:tc>
        <w:tc>
          <w:tcPr>
            <w:tcW w:w="217" w:type="pct"/>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0"/>
                <w:szCs w:val="20"/>
              </w:rPr>
            </w:pPr>
            <w:r>
              <w:rPr>
                <w:rFonts w:ascii="宋体" w:hAnsi="宋体" w:cs="宋体"/>
                <w:kern w:val="0"/>
                <w:sz w:val="20"/>
                <w:szCs w:val="20"/>
              </w:rPr>
              <w:t>1</w:t>
            </w:r>
          </w:p>
        </w:tc>
        <w:tc>
          <w:tcPr>
            <w:tcW w:w="323" w:type="pct"/>
            <w:tcBorders>
              <w:top w:val="single" w:color="auto" w:sz="4" w:space="0"/>
              <w:left w:val="nil"/>
              <w:bottom w:val="single" w:color="auto" w:sz="4" w:space="0"/>
              <w:right w:val="nil"/>
            </w:tcBorders>
            <w:noWrap/>
            <w:vAlign w:val="center"/>
          </w:tcPr>
          <w:p>
            <w:pPr>
              <w:widowControl/>
              <w:jc w:val="center"/>
              <w:rPr>
                <w:rFonts w:ascii="宋体" w:hAnsi="宋体" w:cs="宋体"/>
                <w:kern w:val="0"/>
                <w:sz w:val="20"/>
                <w:szCs w:val="20"/>
              </w:rPr>
            </w:pPr>
            <w:r>
              <w:rPr>
                <w:rFonts w:ascii="宋体" w:hAnsi="宋体" w:cs="宋体"/>
                <w:kern w:val="0"/>
                <w:sz w:val="20"/>
                <w:szCs w:val="20"/>
              </w:rPr>
              <w:t>1　</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b/>
                <w:bCs/>
                <w:kern w:val="0"/>
                <w:sz w:val="18"/>
                <w:szCs w:val="18"/>
              </w:rPr>
              <w:t>会计基础信息完善性</w:t>
            </w:r>
            <w:r>
              <w:rPr>
                <w:rFonts w:hint="eastAsia" w:ascii="宋体" w:hAnsi="宋体" w:cs="宋体"/>
                <w:kern w:val="0"/>
                <w:sz w:val="18"/>
                <w:szCs w:val="18"/>
              </w:rPr>
              <w:t>：部门（单位）会计基础信息情况。</w:t>
            </w:r>
          </w:p>
        </w:tc>
        <w:tc>
          <w:tcPr>
            <w:tcW w:w="1394"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kern w:val="0"/>
                <w:sz w:val="18"/>
                <w:szCs w:val="18"/>
              </w:rPr>
              <w:t>0.5分，扣完为止。</w:t>
            </w:r>
          </w:p>
        </w:tc>
      </w:tr>
      <w:tr>
        <w:tblPrEx>
          <w:tblCellMar>
            <w:top w:w="0" w:type="dxa"/>
            <w:left w:w="108" w:type="dxa"/>
            <w:bottom w:w="0" w:type="dxa"/>
            <w:right w:w="108" w:type="dxa"/>
          </w:tblCellMar>
        </w:tblPrEx>
        <w:trPr>
          <w:trHeight w:val="2538"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资产管理（</w:t>
            </w:r>
            <w:r>
              <w:rPr>
                <w:rFonts w:ascii="宋体" w:hAnsi="宋体" w:cs="宋体"/>
                <w:kern w:val="0"/>
                <w:sz w:val="20"/>
                <w:szCs w:val="20"/>
              </w:rPr>
              <w:t>4）</w:t>
            </w: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资产管理规范性</w:t>
            </w:r>
          </w:p>
        </w:tc>
        <w:tc>
          <w:tcPr>
            <w:tcW w:w="39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资产安全完整、合理配置、使用和处置规范</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资产安全完整、合理配置、使用和处置规范</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4</w:t>
            </w:r>
          </w:p>
        </w:tc>
        <w:tc>
          <w:tcPr>
            <w:tcW w:w="32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2.5</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b/>
                <w:bCs/>
                <w:kern w:val="0"/>
                <w:sz w:val="18"/>
                <w:szCs w:val="18"/>
              </w:rPr>
              <w:t>资产管理规范性</w:t>
            </w:r>
            <w:r>
              <w:rPr>
                <w:rFonts w:hint="eastAsia" w:ascii="宋体" w:hAnsi="宋体" w:cs="宋体"/>
                <w:kern w:val="0"/>
                <w:sz w:val="18"/>
                <w:szCs w:val="18"/>
              </w:rPr>
              <w:t>：部门（单位）的资产是否保持安全完整，资产配置是否合理，资产使用和资产处理是否规范，用以反映和考核部门（单位）资产管理的整体水平。</w:t>
            </w:r>
          </w:p>
        </w:tc>
        <w:tc>
          <w:tcPr>
            <w:tcW w:w="139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kern w:val="0"/>
                <w:sz w:val="18"/>
                <w:szCs w:val="18"/>
              </w:rPr>
              <w:t>0.8分，扣完为止。</w:t>
            </w:r>
          </w:p>
        </w:tc>
      </w:tr>
      <w:tr>
        <w:tblPrEx>
          <w:tblCellMar>
            <w:top w:w="0" w:type="dxa"/>
            <w:left w:w="108" w:type="dxa"/>
            <w:bottom w:w="0" w:type="dxa"/>
            <w:right w:w="108" w:type="dxa"/>
          </w:tblCellMar>
        </w:tblPrEx>
        <w:trPr>
          <w:trHeight w:val="558"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绩效管理（</w:t>
            </w:r>
            <w:r>
              <w:rPr>
                <w:rFonts w:ascii="宋体" w:hAnsi="宋体" w:cs="宋体"/>
                <w:kern w:val="0"/>
                <w:sz w:val="20"/>
                <w:szCs w:val="20"/>
              </w:rPr>
              <w:t>4）</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绩效管理情况</w:t>
            </w:r>
          </w:p>
        </w:tc>
        <w:tc>
          <w:tcPr>
            <w:tcW w:w="39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及时对绩效信息进行汇总整理，对绩效目标偏离及时矫正</w:t>
            </w:r>
          </w:p>
        </w:tc>
        <w:tc>
          <w:tcPr>
            <w:tcW w:w="28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及时对绩效信息进行汇总整理，对绩效目标偏离及时矫正</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4</w:t>
            </w:r>
          </w:p>
        </w:tc>
        <w:tc>
          <w:tcPr>
            <w:tcW w:w="323"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3</w:t>
            </w:r>
            <w:r>
              <w:rPr>
                <w:rFonts w:hint="eastAsia" w:ascii="宋体" w:hAnsi="宋体" w:cs="宋体"/>
                <w:kern w:val="0"/>
                <w:sz w:val="20"/>
                <w:szCs w:val="20"/>
              </w:rPr>
              <w:t>　</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b/>
                <w:bCs/>
                <w:kern w:val="0"/>
                <w:sz w:val="18"/>
                <w:szCs w:val="18"/>
              </w:rPr>
              <w:t>绩效管理情况</w:t>
            </w:r>
            <w:r>
              <w:rPr>
                <w:rFonts w:hint="eastAsia" w:ascii="宋体" w:hAnsi="宋体" w:cs="宋体"/>
                <w:kern w:val="0"/>
                <w:sz w:val="18"/>
                <w:szCs w:val="18"/>
              </w:rPr>
              <w:t>：考核部门（单位）在绩效管理信息的汇总和应用情况。</w:t>
            </w:r>
          </w:p>
        </w:tc>
        <w:tc>
          <w:tcPr>
            <w:tcW w:w="1394"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①部门（单位）是否及时对绩效信息进行汇总分析整理；②部门（单位）是否对绩效目标偏离情况及时进行矫正。每有一项不合格扣</w:t>
            </w:r>
            <w:r>
              <w:rPr>
                <w:rFonts w:ascii="宋体" w:hAnsi="宋体" w:cs="宋体"/>
                <w:kern w:val="0"/>
                <w:sz w:val="18"/>
                <w:szCs w:val="18"/>
              </w:rPr>
              <w:t>2分。</w:t>
            </w:r>
          </w:p>
        </w:tc>
      </w:tr>
      <w:tr>
        <w:tblPrEx>
          <w:tblCellMar>
            <w:top w:w="0" w:type="dxa"/>
            <w:left w:w="108" w:type="dxa"/>
            <w:bottom w:w="0" w:type="dxa"/>
            <w:right w:w="108" w:type="dxa"/>
          </w:tblCellMar>
        </w:tblPrEx>
        <w:trPr>
          <w:trHeight w:val="833"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　</w:t>
            </w:r>
          </w:p>
        </w:tc>
        <w:tc>
          <w:tcPr>
            <w:tcW w:w="788"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2020年</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2021年</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32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bCs/>
                <w:kern w:val="0"/>
                <w:sz w:val="18"/>
                <w:szCs w:val="18"/>
              </w:rPr>
              <w:t>指标</w:t>
            </w:r>
            <w:r>
              <w:rPr>
                <w:rFonts w:ascii="宋体" w:hAnsi="宋体" w:cs="宋体"/>
                <w:bCs/>
                <w:kern w:val="0"/>
                <w:sz w:val="18"/>
                <w:szCs w:val="18"/>
              </w:rPr>
              <w:t>解释</w:t>
            </w:r>
          </w:p>
        </w:tc>
        <w:tc>
          <w:tcPr>
            <w:tcW w:w="1394"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kern w:val="0"/>
                <w:sz w:val="18"/>
                <w:szCs w:val="18"/>
              </w:rPr>
              <w:t>评</w:t>
            </w:r>
            <w:r>
              <w:rPr>
                <w:rFonts w:ascii="宋体" w:hAnsi="宋体" w:cs="宋体"/>
                <w:kern w:val="0"/>
                <w:sz w:val="18"/>
                <w:szCs w:val="18"/>
              </w:rPr>
              <w:t>分标准</w:t>
            </w:r>
          </w:p>
        </w:tc>
      </w:tr>
      <w:tr>
        <w:tblPrEx>
          <w:tblCellMar>
            <w:top w:w="0" w:type="dxa"/>
            <w:left w:w="108" w:type="dxa"/>
            <w:bottom w:w="0" w:type="dxa"/>
            <w:right w:w="108" w:type="dxa"/>
          </w:tblCellMar>
        </w:tblPrEx>
        <w:trPr>
          <w:trHeight w:val="1365"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结转结余率（</w:t>
            </w:r>
            <w:r>
              <w:rPr>
                <w:rFonts w:ascii="宋体" w:hAnsi="宋体" w:cs="宋体"/>
                <w:kern w:val="0"/>
                <w:sz w:val="20"/>
                <w:szCs w:val="20"/>
              </w:rPr>
              <w:t>4）</w:t>
            </w:r>
          </w:p>
        </w:tc>
        <w:tc>
          <w:tcPr>
            <w:tcW w:w="788"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10.38%</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7.72%　</w:t>
            </w:r>
          </w:p>
        </w:tc>
        <w:tc>
          <w:tcPr>
            <w:tcW w:w="21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4</w:t>
            </w:r>
          </w:p>
        </w:tc>
        <w:tc>
          <w:tcPr>
            <w:tcW w:w="32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4　</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结转结余率</w:t>
            </w:r>
            <w:r>
              <w:rPr>
                <w:rFonts w:ascii="宋体" w:hAnsi="宋体" w:cs="宋体"/>
                <w:kern w:val="0"/>
                <w:sz w:val="18"/>
                <w:szCs w:val="18"/>
              </w:rPr>
              <w:t>=结转结余总额/支出预算数×100%。</w:t>
            </w:r>
            <w:r>
              <w:rPr>
                <w:rFonts w:ascii="宋体" w:hAnsi="宋体" w:cs="宋体"/>
                <w:kern w:val="0"/>
                <w:sz w:val="18"/>
                <w:szCs w:val="18"/>
              </w:rPr>
              <w:br w:type="textWrapping"/>
            </w:r>
            <w:r>
              <w:rPr>
                <w:rFonts w:hint="eastAsia" w:ascii="宋体" w:hAnsi="宋体" w:cs="宋体"/>
                <w:kern w:val="0"/>
                <w:sz w:val="18"/>
                <w:szCs w:val="18"/>
              </w:rPr>
              <w:t>结转结余总额：部门（单位）本年度的结转资金与结余资金之和。</w:t>
            </w:r>
          </w:p>
        </w:tc>
        <w:tc>
          <w:tcPr>
            <w:tcW w:w="1394"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部门结转结余率低于上年的不扣分；高于上年结余率，每高出</w:t>
            </w:r>
            <w:r>
              <w:rPr>
                <w:rFonts w:ascii="宋体" w:hAnsi="宋体" w:cs="宋体"/>
                <w:kern w:val="0"/>
                <w:sz w:val="18"/>
                <w:szCs w:val="18"/>
              </w:rPr>
              <w:t>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2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309" w:type="pct"/>
            <w:tcBorders>
              <w:top w:val="single" w:color="auto" w:sz="4" w:space="0"/>
              <w:left w:val="nil"/>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部门预决算差异率（</w:t>
            </w:r>
            <w:r>
              <w:rPr>
                <w:rFonts w:ascii="宋体" w:hAnsi="宋体" w:cs="宋体"/>
                <w:kern w:val="0"/>
                <w:sz w:val="20"/>
                <w:szCs w:val="20"/>
              </w:rPr>
              <w:t>4）</w:t>
            </w:r>
          </w:p>
        </w:tc>
        <w:tc>
          <w:tcPr>
            <w:tcW w:w="788" w:type="pct"/>
            <w:gridSpan w:val="2"/>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288"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ascii="宋体" w:hAnsi="宋体" w:cs="宋体"/>
                <w:kern w:val="0"/>
                <w:sz w:val="20"/>
                <w:szCs w:val="20"/>
              </w:rPr>
              <w:t>3.89%</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4</w:t>
            </w:r>
          </w:p>
        </w:tc>
        <w:tc>
          <w:tcPr>
            <w:tcW w:w="323"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4　</w:t>
            </w:r>
          </w:p>
        </w:tc>
        <w:tc>
          <w:tcPr>
            <w:tcW w:w="1386"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通过年度部门决算与年初部门预算对比，对部门的年度支出情况进行考核，衡量部门预算的约束力。</w:t>
            </w:r>
          </w:p>
        </w:tc>
        <w:tc>
          <w:tcPr>
            <w:tcW w:w="1394"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部门预决算差异率高于市级平均差异率（</w:t>
            </w:r>
            <w:r>
              <w:rPr>
                <w:rFonts w:ascii="宋体" w:hAnsi="宋体" w:cs="宋体"/>
                <w:kern w:val="0"/>
                <w:sz w:val="18"/>
                <w:szCs w:val="18"/>
              </w:rPr>
              <w:t>28.3%）的，每高出10%（含），扣0.4分，扣完为止。</w:t>
            </w:r>
          </w:p>
        </w:tc>
      </w:tr>
      <w:tr>
        <w:tblPrEx>
          <w:tblCellMar>
            <w:top w:w="0" w:type="dxa"/>
            <w:left w:w="108" w:type="dxa"/>
            <w:bottom w:w="0" w:type="dxa"/>
            <w:right w:w="108" w:type="dxa"/>
          </w:tblCellMar>
        </w:tblPrEx>
        <w:trPr>
          <w:trHeight w:val="678" w:hRule="atLeast"/>
        </w:trPr>
        <w:tc>
          <w:tcPr>
            <w:tcW w:w="1680" w:type="pct"/>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合计</w:t>
            </w:r>
          </w:p>
        </w:tc>
        <w:tc>
          <w:tcPr>
            <w:tcW w:w="217"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100</w:t>
            </w:r>
          </w:p>
        </w:tc>
        <w:tc>
          <w:tcPr>
            <w:tcW w:w="323" w:type="pct"/>
            <w:tcBorders>
              <w:top w:val="single" w:color="auto" w:sz="4" w:space="0"/>
              <w:left w:val="nil"/>
              <w:bottom w:val="single" w:color="auto" w:sz="4" w:space="0"/>
              <w:right w:val="nil"/>
            </w:tcBorders>
            <w:vAlign w:val="center"/>
          </w:tcPr>
          <w:p>
            <w:pPr>
              <w:widowControl/>
              <w:jc w:val="center"/>
              <w:rPr>
                <w:rFonts w:ascii="宋体" w:hAnsi="宋体" w:cs="宋体"/>
                <w:kern w:val="0"/>
                <w:sz w:val="20"/>
                <w:szCs w:val="20"/>
              </w:rPr>
            </w:pPr>
            <w:r>
              <w:rPr>
                <w:rFonts w:ascii="宋体" w:hAnsi="宋体" w:cs="宋体"/>
                <w:kern w:val="0"/>
                <w:sz w:val="20"/>
                <w:szCs w:val="20"/>
              </w:rPr>
              <w:t>89.96</w:t>
            </w:r>
          </w:p>
        </w:tc>
        <w:tc>
          <w:tcPr>
            <w:tcW w:w="2780"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spacing w:line="580" w:lineRule="exact"/>
        <w:rPr>
          <w:rFonts w:ascii="黑体" w:eastAsia="黑体"/>
          <w:sz w:val="28"/>
          <w:szCs w:val="28"/>
        </w:rPr>
      </w:pPr>
    </w:p>
    <w:p>
      <w:pPr>
        <w:spacing w:line="580" w:lineRule="exact"/>
        <w:ind w:left="560"/>
        <w:rPr>
          <w:rFonts w:ascii="仿宋_GB2312" w:hAnsi="仿宋_GB2312" w:eastAsia="仿宋_GB2312" w:cs="仿宋_GB2312"/>
          <w:color w:val="000000"/>
          <w:kern w:val="0"/>
          <w:sz w:val="28"/>
          <w:szCs w:val="28"/>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18</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4N2M4ZjM2YTBhODZkMGI5YjI0ODQ1MTQ2NTFmNTkifQ=="/>
  </w:docVars>
  <w:rsids>
    <w:rsidRoot w:val="00100246"/>
    <w:rsid w:val="00001B94"/>
    <w:rsid w:val="00003B03"/>
    <w:rsid w:val="000040E6"/>
    <w:rsid w:val="00011D72"/>
    <w:rsid w:val="00021EB6"/>
    <w:rsid w:val="00027CD5"/>
    <w:rsid w:val="00030837"/>
    <w:rsid w:val="00031B8E"/>
    <w:rsid w:val="00033EC1"/>
    <w:rsid w:val="00034224"/>
    <w:rsid w:val="00040275"/>
    <w:rsid w:val="0004719C"/>
    <w:rsid w:val="00047F6E"/>
    <w:rsid w:val="00051B00"/>
    <w:rsid w:val="000601B1"/>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43F9"/>
    <w:rsid w:val="000B70F1"/>
    <w:rsid w:val="000C4611"/>
    <w:rsid w:val="000D472B"/>
    <w:rsid w:val="000D6854"/>
    <w:rsid w:val="000E0B26"/>
    <w:rsid w:val="000E3291"/>
    <w:rsid w:val="000F08FE"/>
    <w:rsid w:val="000F2A48"/>
    <w:rsid w:val="000F49BE"/>
    <w:rsid w:val="00100246"/>
    <w:rsid w:val="0010682D"/>
    <w:rsid w:val="0010682E"/>
    <w:rsid w:val="001073C6"/>
    <w:rsid w:val="00107DB5"/>
    <w:rsid w:val="0011483D"/>
    <w:rsid w:val="00115724"/>
    <w:rsid w:val="00130995"/>
    <w:rsid w:val="00131FF9"/>
    <w:rsid w:val="00132320"/>
    <w:rsid w:val="001369A7"/>
    <w:rsid w:val="00141DA2"/>
    <w:rsid w:val="001428C5"/>
    <w:rsid w:val="001503D8"/>
    <w:rsid w:val="00157540"/>
    <w:rsid w:val="0016762E"/>
    <w:rsid w:val="0017111F"/>
    <w:rsid w:val="00173CF6"/>
    <w:rsid w:val="00177B9C"/>
    <w:rsid w:val="00180DAD"/>
    <w:rsid w:val="0018370E"/>
    <w:rsid w:val="001852E1"/>
    <w:rsid w:val="00191568"/>
    <w:rsid w:val="001A4277"/>
    <w:rsid w:val="001A7D2E"/>
    <w:rsid w:val="001B1DF9"/>
    <w:rsid w:val="001B1E93"/>
    <w:rsid w:val="001B375E"/>
    <w:rsid w:val="001B4A46"/>
    <w:rsid w:val="001B5E87"/>
    <w:rsid w:val="001B5E91"/>
    <w:rsid w:val="001B7988"/>
    <w:rsid w:val="001D78D9"/>
    <w:rsid w:val="001E0556"/>
    <w:rsid w:val="001E2355"/>
    <w:rsid w:val="001E2379"/>
    <w:rsid w:val="001E29A9"/>
    <w:rsid w:val="001E64B1"/>
    <w:rsid w:val="001F08BE"/>
    <w:rsid w:val="001F1B44"/>
    <w:rsid w:val="001F5857"/>
    <w:rsid w:val="00201DB9"/>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C5568"/>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2AC6"/>
    <w:rsid w:val="00313E14"/>
    <w:rsid w:val="00314328"/>
    <w:rsid w:val="003167DD"/>
    <w:rsid w:val="003169B0"/>
    <w:rsid w:val="00321BD8"/>
    <w:rsid w:val="00325687"/>
    <w:rsid w:val="00327483"/>
    <w:rsid w:val="00332C14"/>
    <w:rsid w:val="00335079"/>
    <w:rsid w:val="003352CE"/>
    <w:rsid w:val="00341D8E"/>
    <w:rsid w:val="003502B9"/>
    <w:rsid w:val="0035083E"/>
    <w:rsid w:val="00351B8F"/>
    <w:rsid w:val="00353226"/>
    <w:rsid w:val="00353717"/>
    <w:rsid w:val="00354630"/>
    <w:rsid w:val="00365A24"/>
    <w:rsid w:val="003712DB"/>
    <w:rsid w:val="00373DDC"/>
    <w:rsid w:val="00382A86"/>
    <w:rsid w:val="00383BCC"/>
    <w:rsid w:val="00385243"/>
    <w:rsid w:val="00390292"/>
    <w:rsid w:val="003925D4"/>
    <w:rsid w:val="0039318C"/>
    <w:rsid w:val="00393366"/>
    <w:rsid w:val="003937DC"/>
    <w:rsid w:val="00393D75"/>
    <w:rsid w:val="003A2F2D"/>
    <w:rsid w:val="003A43AC"/>
    <w:rsid w:val="003A4EB6"/>
    <w:rsid w:val="003A7AE9"/>
    <w:rsid w:val="003A7BC5"/>
    <w:rsid w:val="003A7FF5"/>
    <w:rsid w:val="003B0352"/>
    <w:rsid w:val="003B1CFE"/>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110BC"/>
    <w:rsid w:val="0041271F"/>
    <w:rsid w:val="0041688E"/>
    <w:rsid w:val="004170EF"/>
    <w:rsid w:val="0042093C"/>
    <w:rsid w:val="00422D26"/>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682C"/>
    <w:rsid w:val="004A168E"/>
    <w:rsid w:val="004A4EC7"/>
    <w:rsid w:val="004B0003"/>
    <w:rsid w:val="004B30D9"/>
    <w:rsid w:val="004B7CFC"/>
    <w:rsid w:val="004C020A"/>
    <w:rsid w:val="004C03A3"/>
    <w:rsid w:val="004C44B8"/>
    <w:rsid w:val="004C7629"/>
    <w:rsid w:val="004D0D5D"/>
    <w:rsid w:val="004D457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91655"/>
    <w:rsid w:val="00591BEC"/>
    <w:rsid w:val="00592345"/>
    <w:rsid w:val="005940EA"/>
    <w:rsid w:val="00594448"/>
    <w:rsid w:val="005A1676"/>
    <w:rsid w:val="005A1D6F"/>
    <w:rsid w:val="005A4D82"/>
    <w:rsid w:val="005A52A6"/>
    <w:rsid w:val="005B0DEC"/>
    <w:rsid w:val="005B368E"/>
    <w:rsid w:val="005B6E69"/>
    <w:rsid w:val="005C0015"/>
    <w:rsid w:val="005C1E82"/>
    <w:rsid w:val="005C2BCE"/>
    <w:rsid w:val="005C2CA5"/>
    <w:rsid w:val="005C302D"/>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C3D"/>
    <w:rsid w:val="00632804"/>
    <w:rsid w:val="006376DA"/>
    <w:rsid w:val="006459DA"/>
    <w:rsid w:val="006502E8"/>
    <w:rsid w:val="00654A2B"/>
    <w:rsid w:val="0065675C"/>
    <w:rsid w:val="0065793F"/>
    <w:rsid w:val="00661414"/>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1D80"/>
    <w:rsid w:val="006D3F53"/>
    <w:rsid w:val="006D60AF"/>
    <w:rsid w:val="006F317E"/>
    <w:rsid w:val="006F587A"/>
    <w:rsid w:val="00701651"/>
    <w:rsid w:val="007049BF"/>
    <w:rsid w:val="00704E79"/>
    <w:rsid w:val="00707A26"/>
    <w:rsid w:val="0071120F"/>
    <w:rsid w:val="00716380"/>
    <w:rsid w:val="00720ADD"/>
    <w:rsid w:val="00722165"/>
    <w:rsid w:val="00724B1C"/>
    <w:rsid w:val="007428F0"/>
    <w:rsid w:val="007512EF"/>
    <w:rsid w:val="007551AC"/>
    <w:rsid w:val="0076101C"/>
    <w:rsid w:val="007622C4"/>
    <w:rsid w:val="00763D87"/>
    <w:rsid w:val="007670B2"/>
    <w:rsid w:val="00771795"/>
    <w:rsid w:val="00774925"/>
    <w:rsid w:val="0079279F"/>
    <w:rsid w:val="00793E69"/>
    <w:rsid w:val="007A063C"/>
    <w:rsid w:val="007A16B0"/>
    <w:rsid w:val="007A19EA"/>
    <w:rsid w:val="007A6092"/>
    <w:rsid w:val="007A60B7"/>
    <w:rsid w:val="007A64A6"/>
    <w:rsid w:val="007A7C89"/>
    <w:rsid w:val="007B1487"/>
    <w:rsid w:val="007B2A43"/>
    <w:rsid w:val="007B326F"/>
    <w:rsid w:val="007B6A58"/>
    <w:rsid w:val="007B6C06"/>
    <w:rsid w:val="007B7B78"/>
    <w:rsid w:val="007C32B1"/>
    <w:rsid w:val="007C642D"/>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911"/>
    <w:rsid w:val="00884FB0"/>
    <w:rsid w:val="008853A5"/>
    <w:rsid w:val="00886453"/>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8F668E"/>
    <w:rsid w:val="009057DE"/>
    <w:rsid w:val="00905F97"/>
    <w:rsid w:val="00906FA3"/>
    <w:rsid w:val="00911B92"/>
    <w:rsid w:val="0091239D"/>
    <w:rsid w:val="00912825"/>
    <w:rsid w:val="009129B8"/>
    <w:rsid w:val="00912B99"/>
    <w:rsid w:val="00912C78"/>
    <w:rsid w:val="009351E9"/>
    <w:rsid w:val="00937862"/>
    <w:rsid w:val="00942279"/>
    <w:rsid w:val="009524EB"/>
    <w:rsid w:val="00962013"/>
    <w:rsid w:val="00963942"/>
    <w:rsid w:val="0096716C"/>
    <w:rsid w:val="009672B2"/>
    <w:rsid w:val="00971C66"/>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344A"/>
    <w:rsid w:val="00A117CA"/>
    <w:rsid w:val="00A12225"/>
    <w:rsid w:val="00A14C18"/>
    <w:rsid w:val="00A25898"/>
    <w:rsid w:val="00A3071D"/>
    <w:rsid w:val="00A3182E"/>
    <w:rsid w:val="00A31A89"/>
    <w:rsid w:val="00A32F06"/>
    <w:rsid w:val="00A34934"/>
    <w:rsid w:val="00A34EFE"/>
    <w:rsid w:val="00A36546"/>
    <w:rsid w:val="00A4069C"/>
    <w:rsid w:val="00A429CB"/>
    <w:rsid w:val="00A44E87"/>
    <w:rsid w:val="00A5063C"/>
    <w:rsid w:val="00A52749"/>
    <w:rsid w:val="00A5422E"/>
    <w:rsid w:val="00A56EC1"/>
    <w:rsid w:val="00A6350C"/>
    <w:rsid w:val="00A6370B"/>
    <w:rsid w:val="00A63A73"/>
    <w:rsid w:val="00A6655C"/>
    <w:rsid w:val="00A66CBB"/>
    <w:rsid w:val="00A6704E"/>
    <w:rsid w:val="00A67EA4"/>
    <w:rsid w:val="00A83AA1"/>
    <w:rsid w:val="00A9343A"/>
    <w:rsid w:val="00A9706C"/>
    <w:rsid w:val="00A97B34"/>
    <w:rsid w:val="00AA1B5C"/>
    <w:rsid w:val="00AA7A27"/>
    <w:rsid w:val="00AB373E"/>
    <w:rsid w:val="00AB3FB0"/>
    <w:rsid w:val="00AB465D"/>
    <w:rsid w:val="00AC114C"/>
    <w:rsid w:val="00AC1478"/>
    <w:rsid w:val="00AC6C2D"/>
    <w:rsid w:val="00AC6E17"/>
    <w:rsid w:val="00AD1833"/>
    <w:rsid w:val="00AD2FF3"/>
    <w:rsid w:val="00AD7764"/>
    <w:rsid w:val="00AD7FE2"/>
    <w:rsid w:val="00AE1284"/>
    <w:rsid w:val="00AE1B18"/>
    <w:rsid w:val="00AE7339"/>
    <w:rsid w:val="00AF1B0B"/>
    <w:rsid w:val="00AF242C"/>
    <w:rsid w:val="00AF3CC4"/>
    <w:rsid w:val="00B05903"/>
    <w:rsid w:val="00B060F5"/>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B60"/>
    <w:rsid w:val="00B72D43"/>
    <w:rsid w:val="00B74121"/>
    <w:rsid w:val="00B85C1B"/>
    <w:rsid w:val="00B85FF0"/>
    <w:rsid w:val="00B86150"/>
    <w:rsid w:val="00B878F9"/>
    <w:rsid w:val="00B9044A"/>
    <w:rsid w:val="00B960F3"/>
    <w:rsid w:val="00B96A31"/>
    <w:rsid w:val="00BA05E6"/>
    <w:rsid w:val="00BA51B0"/>
    <w:rsid w:val="00BA6319"/>
    <w:rsid w:val="00BB5E9F"/>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0B4"/>
    <w:rsid w:val="00C33E48"/>
    <w:rsid w:val="00C3618B"/>
    <w:rsid w:val="00C403FB"/>
    <w:rsid w:val="00C4316E"/>
    <w:rsid w:val="00C441A2"/>
    <w:rsid w:val="00C5076B"/>
    <w:rsid w:val="00C512D4"/>
    <w:rsid w:val="00C51CF4"/>
    <w:rsid w:val="00C52BAD"/>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D01CE"/>
    <w:rsid w:val="00CE19F6"/>
    <w:rsid w:val="00CF366B"/>
    <w:rsid w:val="00CF5D9D"/>
    <w:rsid w:val="00CF606C"/>
    <w:rsid w:val="00CF7423"/>
    <w:rsid w:val="00D001F5"/>
    <w:rsid w:val="00D01D19"/>
    <w:rsid w:val="00D03E80"/>
    <w:rsid w:val="00D054A9"/>
    <w:rsid w:val="00D1505F"/>
    <w:rsid w:val="00D15B9F"/>
    <w:rsid w:val="00D15DD6"/>
    <w:rsid w:val="00D164C3"/>
    <w:rsid w:val="00D25548"/>
    <w:rsid w:val="00D2601F"/>
    <w:rsid w:val="00D27759"/>
    <w:rsid w:val="00D30028"/>
    <w:rsid w:val="00D325D3"/>
    <w:rsid w:val="00D408D6"/>
    <w:rsid w:val="00D47ADF"/>
    <w:rsid w:val="00D511DD"/>
    <w:rsid w:val="00D51DE0"/>
    <w:rsid w:val="00D55C2A"/>
    <w:rsid w:val="00D571C1"/>
    <w:rsid w:val="00D602F4"/>
    <w:rsid w:val="00D62F92"/>
    <w:rsid w:val="00D6457E"/>
    <w:rsid w:val="00D7072F"/>
    <w:rsid w:val="00D742E2"/>
    <w:rsid w:val="00D7580E"/>
    <w:rsid w:val="00D87DAF"/>
    <w:rsid w:val="00D9446D"/>
    <w:rsid w:val="00DA2994"/>
    <w:rsid w:val="00DB08E8"/>
    <w:rsid w:val="00DB0DED"/>
    <w:rsid w:val="00DB3073"/>
    <w:rsid w:val="00DB3BA9"/>
    <w:rsid w:val="00DB50FE"/>
    <w:rsid w:val="00DB5EDA"/>
    <w:rsid w:val="00DB7B1C"/>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6641"/>
    <w:rsid w:val="00E2778F"/>
    <w:rsid w:val="00E33023"/>
    <w:rsid w:val="00E331F3"/>
    <w:rsid w:val="00E3498D"/>
    <w:rsid w:val="00E35CA2"/>
    <w:rsid w:val="00E42425"/>
    <w:rsid w:val="00E43E55"/>
    <w:rsid w:val="00E4554E"/>
    <w:rsid w:val="00E46D22"/>
    <w:rsid w:val="00E474E1"/>
    <w:rsid w:val="00E4768F"/>
    <w:rsid w:val="00E53C0E"/>
    <w:rsid w:val="00E54F7E"/>
    <w:rsid w:val="00E560CE"/>
    <w:rsid w:val="00E5674E"/>
    <w:rsid w:val="00E607F7"/>
    <w:rsid w:val="00E61040"/>
    <w:rsid w:val="00E63783"/>
    <w:rsid w:val="00E650E2"/>
    <w:rsid w:val="00E75CAD"/>
    <w:rsid w:val="00E76291"/>
    <w:rsid w:val="00E76922"/>
    <w:rsid w:val="00E80BE4"/>
    <w:rsid w:val="00E8595B"/>
    <w:rsid w:val="00E915EC"/>
    <w:rsid w:val="00EA11B1"/>
    <w:rsid w:val="00EA2224"/>
    <w:rsid w:val="00EA7194"/>
    <w:rsid w:val="00EB1329"/>
    <w:rsid w:val="00EB2987"/>
    <w:rsid w:val="00EB2D75"/>
    <w:rsid w:val="00EB34BE"/>
    <w:rsid w:val="00EB571A"/>
    <w:rsid w:val="00EB5E6A"/>
    <w:rsid w:val="00EC2804"/>
    <w:rsid w:val="00EC6138"/>
    <w:rsid w:val="00ED1DCF"/>
    <w:rsid w:val="00ED43C9"/>
    <w:rsid w:val="00EE1482"/>
    <w:rsid w:val="00EE2C60"/>
    <w:rsid w:val="00EE2E58"/>
    <w:rsid w:val="00EE487A"/>
    <w:rsid w:val="00EE734C"/>
    <w:rsid w:val="00EF6907"/>
    <w:rsid w:val="00EF6D91"/>
    <w:rsid w:val="00F01F54"/>
    <w:rsid w:val="00F04D4D"/>
    <w:rsid w:val="00F11DD8"/>
    <w:rsid w:val="00F122FA"/>
    <w:rsid w:val="00F12745"/>
    <w:rsid w:val="00F13766"/>
    <w:rsid w:val="00F20A77"/>
    <w:rsid w:val="00F22C60"/>
    <w:rsid w:val="00F231A4"/>
    <w:rsid w:val="00F23252"/>
    <w:rsid w:val="00F27B2A"/>
    <w:rsid w:val="00F345D3"/>
    <w:rsid w:val="00F356ED"/>
    <w:rsid w:val="00F359B5"/>
    <w:rsid w:val="00F4144F"/>
    <w:rsid w:val="00F433F3"/>
    <w:rsid w:val="00F47F64"/>
    <w:rsid w:val="00F522D9"/>
    <w:rsid w:val="00F52F54"/>
    <w:rsid w:val="00F53584"/>
    <w:rsid w:val="00F61B24"/>
    <w:rsid w:val="00F62DE5"/>
    <w:rsid w:val="00F63F8A"/>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0FF4C5F"/>
    <w:rsid w:val="066A1827"/>
    <w:rsid w:val="07855881"/>
    <w:rsid w:val="0D581B57"/>
    <w:rsid w:val="0E691138"/>
    <w:rsid w:val="0F781348"/>
    <w:rsid w:val="103B7D91"/>
    <w:rsid w:val="10784E51"/>
    <w:rsid w:val="127C6D88"/>
    <w:rsid w:val="12F928B1"/>
    <w:rsid w:val="13C91318"/>
    <w:rsid w:val="13FA1392"/>
    <w:rsid w:val="15537C7E"/>
    <w:rsid w:val="18EF453A"/>
    <w:rsid w:val="1A6E387C"/>
    <w:rsid w:val="1AD35795"/>
    <w:rsid w:val="1C96CAB6"/>
    <w:rsid w:val="1DF3E524"/>
    <w:rsid w:val="1EB4768C"/>
    <w:rsid w:val="1F1C5897"/>
    <w:rsid w:val="2112296A"/>
    <w:rsid w:val="23192A64"/>
    <w:rsid w:val="28C13B40"/>
    <w:rsid w:val="29CD01DB"/>
    <w:rsid w:val="29D303B0"/>
    <w:rsid w:val="2C436713"/>
    <w:rsid w:val="2CB17B5A"/>
    <w:rsid w:val="2DEF2105"/>
    <w:rsid w:val="37AC3523"/>
    <w:rsid w:val="396754F9"/>
    <w:rsid w:val="3A4678DA"/>
    <w:rsid w:val="3C9239A8"/>
    <w:rsid w:val="3CFFD38A"/>
    <w:rsid w:val="3DF7BC2D"/>
    <w:rsid w:val="3E167975"/>
    <w:rsid w:val="3FCA4B09"/>
    <w:rsid w:val="44411A7A"/>
    <w:rsid w:val="44A22CA0"/>
    <w:rsid w:val="44A504D3"/>
    <w:rsid w:val="49156474"/>
    <w:rsid w:val="49247038"/>
    <w:rsid w:val="49BC6657"/>
    <w:rsid w:val="49F42C70"/>
    <w:rsid w:val="4DEF7282"/>
    <w:rsid w:val="4F840831"/>
    <w:rsid w:val="515E0938"/>
    <w:rsid w:val="547F5A6B"/>
    <w:rsid w:val="561E2F37"/>
    <w:rsid w:val="561E71B6"/>
    <w:rsid w:val="5A48179D"/>
    <w:rsid w:val="5B561CFC"/>
    <w:rsid w:val="5DE34C05"/>
    <w:rsid w:val="5DF24B50"/>
    <w:rsid w:val="5E282CCF"/>
    <w:rsid w:val="61AA1D4E"/>
    <w:rsid w:val="66B83751"/>
    <w:rsid w:val="66BA2932"/>
    <w:rsid w:val="68E87314"/>
    <w:rsid w:val="6C1545D1"/>
    <w:rsid w:val="6DE53E47"/>
    <w:rsid w:val="70FA499F"/>
    <w:rsid w:val="72264F9C"/>
    <w:rsid w:val="74850A24"/>
    <w:rsid w:val="75C64E50"/>
    <w:rsid w:val="76430D78"/>
    <w:rsid w:val="7A177CFC"/>
    <w:rsid w:val="7D08410F"/>
    <w:rsid w:val="7D6513F2"/>
    <w:rsid w:val="7FED3D76"/>
    <w:rsid w:val="D8FF64A3"/>
    <w:rsid w:val="E9BB220B"/>
    <w:rsid w:val="EF0F2CF3"/>
    <w:rsid w:val="F7FB4260"/>
    <w:rsid w:val="FAF98CF7"/>
    <w:rsid w:val="FEFF1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ody Text Indent"/>
    <w:basedOn w:val="1"/>
    <w:qFormat/>
    <w:uiPriority w:val="0"/>
    <w:pPr>
      <w:ind w:firstLine="645"/>
    </w:pPr>
    <w:rPr>
      <w:rFonts w:ascii="仿宋_GB2312" w:hAnsi="Calibri" w:eastAsia="仿宋_GB2312"/>
      <w:sz w:val="32"/>
      <w:szCs w:val="32"/>
    </w:r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8">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styleId="13">
    <w:name w:val="Emphasis"/>
    <w:basedOn w:val="10"/>
    <w:qFormat/>
    <w:uiPriority w:val="0"/>
    <w:rPr>
      <w:i/>
      <w:iCs/>
    </w:rPr>
  </w:style>
  <w:style w:type="character" w:customStyle="1" w:styleId="14">
    <w:name w:val="页脚 Char"/>
    <w:link w:val="6"/>
    <w:qFormat/>
    <w:uiPriority w:val="0"/>
    <w:rPr>
      <w:rFonts w:eastAsia="宋体"/>
      <w:kern w:val="2"/>
      <w:sz w:val="18"/>
      <w:szCs w:val="18"/>
      <w:lang w:val="en-US" w:eastAsia="zh-CN" w:bidi="ar-SA"/>
    </w:rPr>
  </w:style>
  <w:style w:type="character" w:customStyle="1" w:styleId="15">
    <w:name w:val="页眉 Char"/>
    <w:link w:val="7"/>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9421</Words>
  <Characters>9865</Characters>
  <Lines>73</Lines>
  <Paragraphs>20</Paragraphs>
  <TotalTime>33</TotalTime>
  <ScaleCrop>false</ScaleCrop>
  <LinksUpToDate>false</LinksUpToDate>
  <CharactersWithSpaces>9892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2022-06-08T07:38:00Z</dcterms:created>
  <dc:creator>常程</dc:creator>
  <cp:lastModifiedBy>ZF</cp:lastModifiedBy>
  <cp:lastPrinted>2022-06-08T07:38:00Z</cp:lastPrinted>
  <dcterms:modified xsi:type="dcterms:W3CDTF">2022-08-23T03:24:53Z</dcterms:modified>
  <dc:title>北京市财政局关于做好向市人大常委会报送2015年度市级部门决算（草案）</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B859C6C5BF9A4A4FA84B3CBA1B12027E</vt:lpwstr>
  </property>
</Properties>
</file>